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Navigating the CY 2027 Medicare Payment Redesign: Strategic Implications of HCPCS Code G2211 Restructuring for U.S. Healthcare Payers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Executive Overview of CY 2027 Fee Schedule Reforms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Centers for Medicare &amp; Medicaid Services (CMS) published the Calendar Year (CY) 2027 Medicare Physician Fee Schedule (PFS) Proposed Rule (CMS-1848-P) on July 14, 2026, introducing structural modifications to federal healthcare reimbursement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proposed regulatory framework fundamentally alters how primary care complexity, longitudinal patient management, and same-day procedural care are compensated under Medicare Part B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Central to these reforms is the statutory expiration of the temporary 2.50% conversion factor increase established under Public Law 119-21 (the Working Families Tax Cut legislation) at the end of CY 2026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 comply with statutory mandates under the Medicare Access and CHIP Reauthorization Act (MACRA), CMS proposed dual conversion factors for CY 2027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Qualifying Advanced Alternative Payment Model (APM) Participants (QPs):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Proposed conversion factor of $33.1693, representing a 1.19% reduction ($0.40 decrease) from the CY 2026 baseline of $33.5675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Non-Qualifying APM Participants (Non-QPs):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Proposed conversion factor of $32.8409, representing a 1.68% reduction ($0.56 decrease) from the CY 2026 baseline of $33.4009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These net reductions incorporate a +0.53% budget neutrality adjustment required to balance relative value unit (RVU) updates across the fee schedule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 mitigate macro-reimbursement cuts for primary care and encourage provider participation in risk-bearing care delivery models, CMS proposed a structural overhaul of the Evaluation and Management (E/M) visit complexity add-on code, HCPCS code G2211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 healthcare payers—spanning Medicare Advantage (MA) organizations, commercial health plans, and Medicaid managed care entities—these changes carry financial, actuarial, and operational implications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Deconstruction of HCPCS Code G2211 Structural Modifications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HCPCS code G2211 was originally conceptualized to compensate physicians for the intensity and longitudinal relationship management involved in ongoing care for complex or chronic conditions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Since its operational implementation, G2211 has functioned as a standalone, flat-rate add-on code (~$16.00) appended alongside primary office/outpatient E/M services (CPT 99202–99215)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CY 2027, CMS proposes to eliminate separate billing of HCPCS code G2211 as a standalone claim line item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its place, the agency proposes establishing two new two-digit HCPCS billing modifiers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Placeholder Modifier MOD1 (Standard Complexity):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Designed for general, non-ACO eligible practitioners furnishing ongoing longitudinal care or managing a serious or complex condition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Instead of a flat-rate payment, MOD1 increases the reimbursement of the underlying primary office/outpatient E/M base code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16%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Placeholder Modifier MOD2 (ACO &amp; Value-Based Care Longitudinal Care):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Reserved exclusively for eligible clinicians participating in an Accountable Care Organization (ACO) under the Medicare Shared Savings Program (MSSP), the ACO Primary Care Flex Model, or the Long-term Enhanced ACO Design (LEAD) Model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MOD2 increases the reimbursement of the underlying primary E/M base code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32%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—double the value of MOD1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Feature / Policy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Pre-2027 Policy (HCPCS Code G2211)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Proposed CY 2027 Policy (MOD1)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Proposed CY 2027 Policy (MOD2)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Billing 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Standalone HCPCS CPT add-on code (separate claim line)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Two-digit HCPCS modifier appended to primary E/M code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Two-digit HCPCS modifier appended to primary E/M code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Reimbursement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Fixed flat dollar rate (~$16.00 based on standard RVUs)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Proportional rate: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16%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of base E/M payment rate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Proportional rate: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32%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of base E/M payment rate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Provider Eligibility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Open to all qualifying outpatient billing clinicians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Open to all qualifying outpatient billing clinicians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Restricted to MSSP, ACO PC Flex, and LEAD Model participants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Beneficiary Restriction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Applicable to all qualifying patient encounters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Applicable to all qualifying patient encounters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Voluntary; applicable to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all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patients treated by ACO clinicians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Primary Incentive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Compensates longitudinal E/M clinical work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Equalizes relative percentage lift across E/M levels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Drives clinician alignment into risk-bearing ACO structures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transition from a flat-rate add-on to percentage-based modifiers addresses a core structural distortion in the prior fee schedule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Under the flat-rate model, G2211 provided a higher percentage payment increase to lower-level E/M visits (such as CPT 99202 or 99212) compared to high-complexity E/M visits (such as CPT 99205 or 99215)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By establishing a 16% percentage multiplier via MOD1, CMS scales the financial add-on directly with the resource intensity, clinical decision-making, and practitioner time inherent to the underlying E/M level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MOD2 serves as a regulatory mechanism to incentivize ACO participation and reward total-cost-of-care (TCOC) accountability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CMS allows ACO-participating practitioners to bill MOD2 for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Medicare Fee-for-Service (FFS) beneficiary they treat, regardless of whether the specific patient is formally assigned or aligned to the ACO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Claims submitted with MOD2 will automatically feed into beneficiary assignment algorithms, historical benchmark expenditure calculations, and performance-year reconciliation metrics under the Shared Savings Program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Cross-Code Dynamics and Interrelated Fee Schedule Adjustments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restructuring of G2211 occurs alongside several interrelated coding modifications and policy adjustments that alter the financial impact on outpatient specialties, facility settings, and health plans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Same-Day E/M Visits and Global Surgical Procedures (Modifier 25 Reduction)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eliminate perceived duplicative payments where evaluation work overlaps with procedural pre- and post-operative care, CMS proposes a payment reduction for same-day E/M visits furnished alongside procedures with 0-, 10-, or 90-day global surgical periods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Under the proposed policy, when a separately identifiable office/outpatient E/M visit (billed with Modifier 25 or Modifier 57) is billed on the same date of service as a global procedure by the same physician or group practice, the highest-valued service (either the procedural service or the E/M visit) is reimbursed at 100% of the fee schedule rate, while all additional or secondary E/M visits or surgical procedures furnished on that same day are reimbursed at 50%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policy impacts interventional specialties—such as interventional pain management, cardiology, orthopedics, wound care, and dermatology—that frequently pair same-day diagnostic evaluations or therapeutic injections with office visits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 these specialties, the 50% cut on Modifier 25 E/M visits will outweigh the modest gains derived from MOD1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Remote Patient Monitoring (RPM) and Remote Therapeutic Monitoring (RTM)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CMS proposes an overhaul of RPM and RTM billing to eliminate cold-calling marketing practices and third-party vendor abuse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proposed rule restricts reimbursement for RPM and RTM clinical staff time strictly to direct employees of the billing practitioner or practice, effectively banning contracted third-party vendor models starting January 1, 2027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practitioners must furnish a face-to-face or telehealth initiating visit prior to enrolling a patient in monitoring services, and RTM services are restricted to established patients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 support these changes, CMS proposes replacing existing RPM and RTM CPT codes with four new HCPCS G-codes describing direct clinical staff monitoring time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Advance Care Planning (ACP) and Behavioral Health Services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Advance Care Planning, billing existing CPT codes 99497 and 99498 is restricted strictly to time personally furnished by the billing physician or advanced practice provider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CMS created two new HCPCS codes to describe ACP services furnished by clinical staff under direct supervision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behavioral health, CMS introduced a 19.1% work RVU increase for Screening, Brief Intervention, and Referral to Treatment (SBIRT) services and smoking/tobacco cessation counseling, alongside expanded valuations for Psychiatric Collaborative Care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Additionally, a new HCPCS G-code is proposed for Shared Medical Appointments (SMAs) to cover 60-minute group visits of up to 10 established patients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Code / Service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CY 2027 Policy Proposal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Direct Financial 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Strategic Payer/Provider Implication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Modifier 25 / Same-Day E/M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50% payment reduction on lower-priced service when billed with global surgical procedure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Substantial revenue reduction for procedural specialties (-15% to -20% net encounter value)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Payers capture immediate claim savings; providers must segregate procedural and evaluation visits to different dates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RPM &amp; RTM Services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Bans outsourced vendors; requires direct practice employees and mandatory initiating visit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Drastic contraction in vendor-driven RPM/RTM claim volume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Payers experience reduced low-value RPM claims; practices must internalize monitoring staff or cease billing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Advance Care Planning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CPT 99497/99498 restricted to provider personal time; 2 new HCPCS codes created for clinical staff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Segmented reimbursement based on clinician tier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Operational audit risk shifts to verifying practitioner vs. staff time documentation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Shared Medical Appointments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New dedicated G-code for 60-minute group visits (up to 10 established patients)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Cost-effective group billing model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Payers expand access for chronic disease management; primary care practices scale panel touchpoints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Timed SBIRT &amp; Tobacco Cessation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+19.1% work RVU increase across timed behavioral health codes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Net reimbursement increase for preventive counseling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Encourages integration of behavioral health screening within routine primary care encounters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 Healthcare Payer Impact Analysis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Healthcare payers operating across Medicare Advantage (MA), commercial employer-sponsored, and Medicaid managed care lines of business face distinct strategic choices regarding the adoption of MOD1 and MOD2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Medicare Advantage organizations are bound by federal payment rules and CMS National Coverage Determinations, requiring plans to configure claims processing systems by January 1, 2027, to adjudicate MOD1 (16%) and MOD2 (32%) while enforcing the 50% payment reduction on Modifier 25 services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contrast, commercial and self-insured plans historically experience a 12- to 24-month implementation lag when adopting CMS coding changes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many commercial contracts reference Medicare PFS rates as a baseline percentage, commercial payers must evaluate whether to adopt percentage modifiers automatically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commercial payers allow MOD1 and MOD2 to flow through claims engines without updating base rates, they risk fee-for-service claims inflation—particularly if primary care providers shift coding patterns toward higher-tier E/M visits to maximize percentage add-ons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payers operating Medicare Shared Savings Program ACOs or commercial value-based contracts, MOD2 creates a multi-layered actuarial dynamic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Because MOD2 provides a 32% increase on primary E/M base codes, FFS Part B claims expenditure for primary care encounters will increase immediately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However, CMS explicitly includes MOD2 claims expenditures in historical benchmark calculations and performance-year expenditure reconciliations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CMS simultaneously proposed raising the MSSP BASIC Track Level E shared savings rate from 50% to 60% and scaling the prior savings adjustment from 50% to 75%, ACOs that leverage MOD2 will generate higher benchmark targets over multi-year agreement periods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the 50% reduction on same-day Modifier 25 E/M visits will curb procedural spending in specialist encounters, helping to offset the increased primary care expenditure driven by MOD2 within total-cost-of-care models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shift from a flat fee (~$16.00) to percentage modifiers (16% or 32%) alters provider billing economics across different visit intensities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Under the proposed 2027 non-QP conversion factor of $32.84, the base rate for an established patient Level 3 E/M visit (CPT 99213, ~1.30 total RVUs) yields a base payment of ~$42.69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Applying MOD1 (16%) yields an add-on of ~$6.83, whereas MOD2 (32%) yields ~$13.66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a Level 5 established visit (CPT 99215, ~2.80 total RVUs, base payment ~$91.95), MOD1 yields ~$14.71, while MOD2 yields ~$29.42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Actuaries must model a potential "upward coding migration" as providers adjust documentation practices to justify Level 4 (CPT 99214) and Level 5 (CPT 99215) visits to maximize the percentage add-on, resulting in an increase in overall E/M case-mix index across outpatient claims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Strategic Actions for Payers and Providers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Payer Strategies: Counter-Measures and Leverage Points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Health plans must update claim processing logic prior to January 1, 2027, to accommodate the new modifier structure and associated edits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Claims adjudication engines require configuration to validate MOD1 (16%) and MOD2 (32%) on CPT 99202–99215 encounters, while automated cross-line claim edits must be implemented to enforce the 50% payment reduction on secondary E/M visits or procedures billed with Modifier 25 or 57 on the same date of service as a global surgical procedure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tandem, legacy RPM and RTM CPT codes must be deactivated and replaced with the four new HCPCS G-codes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From a commercial contracting perspective, health plans should avoid automatically applying MOD2 to non-risk-bearing fee-for-service contracts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Payers can reserve MOD2 reimbursement as a value-based incentive strictly for practices entering high-upside/downside risk ACO contracts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Health plans must also adjust total-cost-of-care benchmarking models to account for higher baseline E/M unit costs under MOD2, balanced against anticipated medical cost savings from reduced procedural frequency under the new Modifier 25 edits and streamlined RPM utilization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manage fraud, waste, and abuse risks, payers should establish post-payment audit algorithms that track provider-level shifts in E/M level distribution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Outliers exhibiting sudden spikes in Level 4 and Level 5 visits appended with MOD1 or MOD2 should be flagged for medical record reviews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Additionally, credentialing and audit checks must be introduced to verify that clinical staff billing RPM/RTM under practice tax identification numbers are direct employees, ensuring full compliance with the third-party vendor prohibition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Provider Strategies: Operational Adaptation and Value Capture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Health systems and medical groups must update Electronic Health Record (EHR) clinical documentation templates to support new coding workflows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Decision-support tools within the EHR should prompt clinicians for MOD1 or MOD2 when ongoing longitudinal care or complex condition management is documented during E/M visits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mitigate the 50% payment haircut on Modifier 25 E/M visits, specialty practices should restructure operational schedules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Where clinically appropriate, diagnostic evaluations and elective minor procedures (such as joint injections or minor excisions) should be uncoupled and scheduled on separate dates of service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Independent practices and health system medical groups should evaluate immediate entry into MSSP, ACO PC Flex, or LEAD ACO structures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16% financial gap between MOD1 (16%) and MOD2 (32%) represents a significant revenue differential that can offset conversion factor reductions and fund dedicated care management infrastructure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primary care practices can deploy the new Shared Medical Appointment HCPCS G-code to deliver 60-minute group disease management sessions for up to 10 patients, maximizing clinical panel capacity and practice throughput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Strategic Synthesis and Policy Outlook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CY 2027 Medicare Physician Fee Schedule proposed rule represents a regulatory shift toward value-based primary care infrastructure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By replacing standalone add-on code G2211 with percentage-based modifiers (MOD1 at 16% and MOD2 at 32%), CMS addresses historical payment disparities across E/M tiers while establishing a financial mechanism for ACO participation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transition aligns with broader policy adjustments across the fee schedule. The implementation of MOD1 and MOD2 in CY 2027 coincides with a 50% payment reduction on same-day Modifier 25 E/M visits and tighter direct-employment restrictions on remote patient monitoring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Looking ahead to CY 2028, clinicians will enter the final performance year for the traditional MIPS reporting pathway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CY 2029, CMS proposes to sunset traditional MIPS entirely, establishing MIPS Value Pathways (MVPs) as the sole reporting framework for non-APM participants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federal trajectory moves away from volume-driven fee-for-service mechanisms in favor of integrated, risk-bearing delivery systems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Healthcare payers that align commercial and Medicare Advantage benefit designs with these federal modifications will be positioned to control unit-cost inflation, curb low-value procedural utilization, and accelerate network transformation toward total-cost-of-care accountabilities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Calendar Year (CY) 2027 Medicare Physician Fee Schedule ... - CMS,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https://www.cms.gov/newsroom/fact-sheets/calendar-year-cy-2027-medicare-physician-fee-schedule-proposed-rule-cms-1848-p-medicare-shared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Calendar Year (CY) 2027 Medicare Physician Fee Schedule ... - CMS,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https://www.cms.gov/newsroom/fact-sheets/calendar-year-cy-2027-medicare-physician-fee-schedule-proposed-rule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Medicare and Medicaid Programs; CY 2027 Payment Policies,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https://www.federalregister.gov/documents/2026/07/16/2026-14327/medicare-and-medicaid-programs-cy-2027-payment-policies-under-the-physician-fee-schedule-and-other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Health Headlines – July 20, 2026 - King &amp; Spalding,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https://www.kslaw.com/news-and-insights/health-headlines-july-20-2026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G2211: Are you leaving reimbursement on the table?,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https://www.medicaleconomics.com/view/g2211-are-you-leaving-reimbursement-on-the-table-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2027 Medicare Physician Fee Schedule Proposal: Key Payment and,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https://www.billing-coding.com/full-article.cfm?articleID=8072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2027 Medicare Physician Fee Schedule Rule: Key Updates,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https://www.forvismazars.us/forsights/2026/08/2027-medicare-physician-fee-schedule-rule-key-updates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Big Changes Ahead: 2027 Physician Fee Schedule Proposed Rule,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https://www.gillcompliance.com/blog/2026/7/20/big-changes-ahead-2027-physician-fee-schedule-proposed-rule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Medicare physician fee schedule proposal includes changes ... - AAFP,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https://www.aafp.org/fpm/blogs/getting-paid/medicare-physician-fee-schedule-proposal-includes-changes-to-g2211-other-codes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Navigating the CY 2027 PFS Proposed Rule,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https://firstpatientengagementltd.com/blog/cy-2027-pfs-proposed-rule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CMS 2027 Medicare Physician Fee Schedule Proposed Rule,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https://www.hmpgloballearningnetwork.com/site/wounds/news/cms-2027-medicare-physician-fee-schedule-proposed-rule-key-changes-wound-care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Major themes from a major reg: The CY 2027 PFS proposed rule,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https://www.mcdermottplus.com/blog/regs-eggs/major-themes-from-a-major-reg-the-cy-2027-pfs-proposed-rule/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CY 2027 Medicare Physician Fee Schedule Proposed Rule,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https://strategichealthcare.net/wp-content/uploads/2026/07/072226-CY27-Medicare-PFS-Proposed-Rule-Financial-Opportunities.pdf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CY2027 Physician Fee Schedule: What It Means for VBC - Arcadia.io,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https://arcadia.io/resources/cy2027-physician-fee-schedule-value-based-care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Physiatry Billing and RCM: The Essential Guide for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https://www.promedicapartners.com/blog/physiatry-billing-rcm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2027 Medicare Physician Fee Schedule Proposed Rule Released,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https://www.scai.org/media-center/news-and-articles/2027-medicare-physician-fee-schedule-proposed-rule-released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American Society of Interventional Pain Physicians: ASIPP,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https://asipp.org/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2027 CMS MPFS Proposed Rule | McGovern Medical School,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https://med.uth.edu/mshbc/coding-compliance-overview/2027-cms-mpfs-proposed-rule/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CY 2027 Physician Fee Schedule Proposed Rule Summary,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https://vizientinc-delivery.sitecorecontenthub.cloud/api/public/content/c2a98b11fc1c4016aef6020c39ebfa90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Fact Sheet Calendar Year (CY) 2027 Medicare Physician Fee,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https://asipp.org/fact-sheet-2027-medicare-physician-fee-schedule-proposed-rule/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Expert Insurance Credentialing for Therapists to Grow Practice,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https://imedclaims.com/insurance-credentialing-for-therapists/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Healthcare Compliance Blog - Conference Panel,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https://conferencepanel.com/blog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2027 QPP Proposed Rule: MIPS Sunset &amp; a FHIR Deadline,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https://dynamichealthit.com/post/2027-qpp-proposed-rule-mips-sunset-fhir-timeline/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omedicapartners.com/blog/physiatry-billing-rcm" TargetMode="External"/><Relationship Id="rId22" Type="http://schemas.openxmlformats.org/officeDocument/2006/relationships/hyperlink" Target="https://asipp.org/" TargetMode="External"/><Relationship Id="rId21" Type="http://schemas.openxmlformats.org/officeDocument/2006/relationships/hyperlink" Target="https://www.scai.org/media-center/news-and-articles/2027-medicare-physician-fee-schedule-proposed-rule-released" TargetMode="External"/><Relationship Id="rId24" Type="http://schemas.openxmlformats.org/officeDocument/2006/relationships/hyperlink" Target="https://vizientinc-delivery.sitecorecontenthub.cloud/api/public/content/c2a98b11fc1c4016aef6020c39ebfa90" TargetMode="External"/><Relationship Id="rId23" Type="http://schemas.openxmlformats.org/officeDocument/2006/relationships/hyperlink" Target="https://med.uth.edu/mshbc/coding-compliance-overview/2027-cms-mpfs-proposed-rul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slaw.com/news-and-insights/health-headlines-july-20-2026" TargetMode="External"/><Relationship Id="rId26" Type="http://schemas.openxmlformats.org/officeDocument/2006/relationships/hyperlink" Target="https://imedclaims.com/insurance-credentialing-for-therapists/" TargetMode="External"/><Relationship Id="rId25" Type="http://schemas.openxmlformats.org/officeDocument/2006/relationships/hyperlink" Target="https://asipp.org/fact-sheet-2027-medicare-physician-fee-schedule-proposed-rule/" TargetMode="External"/><Relationship Id="rId28" Type="http://schemas.openxmlformats.org/officeDocument/2006/relationships/hyperlink" Target="https://dynamichealthit.com/post/2027-qpp-proposed-rule-mips-sunset-fhir-timeline/" TargetMode="External"/><Relationship Id="rId27" Type="http://schemas.openxmlformats.org/officeDocument/2006/relationships/hyperlink" Target="https://conferencepanel.com/blo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ms.gov/newsroom/fact-sheets/calendar-year-cy-2027-medicare-physician-fee-schedule-proposed-rule-cms-1848-p-medicare-shared" TargetMode="External"/><Relationship Id="rId7" Type="http://schemas.openxmlformats.org/officeDocument/2006/relationships/hyperlink" Target="https://www.cms.gov/newsroom/fact-sheets/calendar-year-cy-2027-medicare-physician-fee-schedule-proposed-rule" TargetMode="External"/><Relationship Id="rId8" Type="http://schemas.openxmlformats.org/officeDocument/2006/relationships/hyperlink" Target="https://www.federalregister.gov/documents/2026/07/16/2026-14327/medicare-and-medicaid-programs-cy-2027-payment-policies-under-the-physician-fee-schedule-and-other" TargetMode="External"/><Relationship Id="rId11" Type="http://schemas.openxmlformats.org/officeDocument/2006/relationships/hyperlink" Target="https://www.billing-coding.com/full-article.cfm?articleID=8072" TargetMode="External"/><Relationship Id="rId10" Type="http://schemas.openxmlformats.org/officeDocument/2006/relationships/hyperlink" Target="https://www.medicaleconomics.com/view/g2211-are-you-leaving-reimbursement-on-the-table-" TargetMode="External"/><Relationship Id="rId13" Type="http://schemas.openxmlformats.org/officeDocument/2006/relationships/hyperlink" Target="https://www.gillcompliance.com/blog/2026/7/20/big-changes-ahead-2027-physician-fee-schedule-proposed-rule" TargetMode="External"/><Relationship Id="rId12" Type="http://schemas.openxmlformats.org/officeDocument/2006/relationships/hyperlink" Target="https://www.forvismazars.us/forsights/2026/08/2027-medicare-physician-fee-schedule-rule-key-updates" TargetMode="External"/><Relationship Id="rId15" Type="http://schemas.openxmlformats.org/officeDocument/2006/relationships/hyperlink" Target="https://firstpatientengagementltd.com/blog/cy-2027-pfs-proposed-rule" TargetMode="External"/><Relationship Id="rId14" Type="http://schemas.openxmlformats.org/officeDocument/2006/relationships/hyperlink" Target="https://www.aafp.org/fpm/blogs/getting-paid/medicare-physician-fee-schedule-proposal-includes-changes-to-g2211-other-codes" TargetMode="External"/><Relationship Id="rId17" Type="http://schemas.openxmlformats.org/officeDocument/2006/relationships/hyperlink" Target="https://www.mcdermottplus.com/blog/regs-eggs/major-themes-from-a-major-reg-the-cy-2027-pfs-proposed-rule/" TargetMode="External"/><Relationship Id="rId16" Type="http://schemas.openxmlformats.org/officeDocument/2006/relationships/hyperlink" Target="https://www.hmpgloballearningnetwork.com/site/wounds/news/cms-2027-medicare-physician-fee-schedule-proposed-rule-key-changes-wound-care" TargetMode="External"/><Relationship Id="rId19" Type="http://schemas.openxmlformats.org/officeDocument/2006/relationships/hyperlink" Target="https://arcadia.io/resources/cy2027-physician-fee-schedule-value-based-care" TargetMode="External"/><Relationship Id="rId18" Type="http://schemas.openxmlformats.org/officeDocument/2006/relationships/hyperlink" Target="https://strategichealthcare.net/wp-content/uploads/2026/07/072226-CY27-Medicare-PFS-Proposed-Rule-Financial-Opportuniti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