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myowhliryig" w:id="0"/>
      <w:bookmarkEnd w:id="0"/>
      <w:r w:rsidDel="00000000" w:rsidR="00000000" w:rsidRPr="00000000">
        <w:rPr>
          <w:b w:val="1"/>
          <w:color w:val="000000"/>
          <w:sz w:val="26"/>
          <w:szCs w:val="26"/>
          <w:rtl w:val="0"/>
        </w:rPr>
        <w:t xml:space="preserve">Abstract</w:t>
      </w:r>
    </w:p>
    <w:p w:rsidR="00000000" w:rsidDel="00000000" w:rsidP="00000000" w:rsidRDefault="00000000" w:rsidRPr="00000000" w14:paraId="00000002">
      <w:pPr>
        <w:spacing w:after="240" w:before="240" w:lineRule="auto"/>
        <w:rPr/>
      </w:pPr>
      <w:r w:rsidDel="00000000" w:rsidR="00000000" w:rsidRPr="00000000">
        <w:rPr>
          <w:rtl w:val="0"/>
        </w:rPr>
        <w:t xml:space="preserve">Dynamic customization of digital user interfaces (UIs) in banking platforms is essential for delivering personalised experiences that meet modern customer expectations. With the rise of fintech and big tech competitors, banks must leverage AI and machine learning to analyse customer data and offer real-time, tailored interactions. This approach not only enhances customer satisfaction and loyalty but also ensures operational efficiency and consistency across digital channels. By addressing these needs, dynamic customization helps banks stay competitive in an increasingly digital landscape. This is why dynamic customization is crucial for modern banking.</w:t>
      </w: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The digital revolution in banking is not merely a shift in how services are delivered but a fundamental transformation in the relationship between banks and their customers. Traditionally, banking services were standardized, with little room for individual preferences. However, the advent of digital technology has introduced a new era where customer-centricity is paramount. This transformation is largely driven by the increasing power and sophistication of big data analytics, artificial intelligence (AI), and machine learning (ML), which allow banks to understand and predict customer behavior at an unprecedented scale. As a result, banks are now able to offer highly personalized experiences that not only meet but anticipate customer needs, creating a more engaging and satisfying user experience.</w:t>
      </w:r>
    </w:p>
    <w:p w:rsidR="00000000" w:rsidDel="00000000" w:rsidP="00000000" w:rsidRDefault="00000000" w:rsidRPr="00000000" w14:paraId="00000005">
      <w:pPr>
        <w:spacing w:after="240" w:before="240" w:lineRule="auto"/>
        <w:rPr/>
      </w:pPr>
      <w:r w:rsidDel="00000000" w:rsidR="00000000" w:rsidRPr="00000000">
        <w:rPr>
          <w:rtl w:val="0"/>
        </w:rPr>
        <w:t xml:space="preserve">Moreover, the competitive landscape of the financial services industry has intensified the need for dynamic UI customization. Fintech companies and tech giants like Google, Amazon, and Apple have set new benchmarks for customer experience, leveraging their technological prowess to offer seamless, intuitive, and highly personalized digital services. In response, traditional banks must innovate to keep pace, not only to retain their existing customer base but also to attract the tech-savvy younger generation who demand instant, personalized digital experiences. This competition has made dynamic UI customization a strategic imperative rather than a mere option.</w:t>
      </w:r>
    </w:p>
    <w:p w:rsidR="00000000" w:rsidDel="00000000" w:rsidP="00000000" w:rsidRDefault="00000000" w:rsidRPr="00000000" w14:paraId="00000006">
      <w:pPr>
        <w:spacing w:after="240" w:before="240" w:lineRule="auto"/>
        <w:rPr/>
      </w:pPr>
      <w:r w:rsidDel="00000000" w:rsidR="00000000" w:rsidRPr="00000000">
        <w:rPr>
          <w:rtl w:val="0"/>
        </w:rPr>
        <w:t xml:space="preserve">Another crucial factor driving the need for dynamic UI customization is the growing complexity and diversity of customer interactions across digital channels. Today’s customers engage with their banks through multiple platforms—websites, mobile apps, and even voice-activated assistants. Each of these platforms requires a different approach to UI design, and the ability to deliver a consistent yet personalized experience across all channels is a significant challenge. By adopting dynamic UI customization, banks can ensure that their services are not only accessible but also tailored to the specific needs and preferences of their customers, regardless of the platform used.</w:t>
      </w:r>
    </w:p>
    <w:p w:rsidR="00000000" w:rsidDel="00000000" w:rsidP="00000000" w:rsidRDefault="00000000" w:rsidRPr="00000000" w14:paraId="00000007">
      <w:pPr>
        <w:spacing w:after="240" w:before="240" w:lineRule="auto"/>
        <w:rPr/>
      </w:pPr>
      <w:r w:rsidDel="00000000" w:rsidR="00000000" w:rsidRPr="00000000">
        <w:rPr>
          <w:rtl w:val="0"/>
        </w:rPr>
        <w:t xml:space="preserve">Finally, the rise of digital banking has brought with it new security challenges. As banks move towards more personalized digital interactions, they must also ensure that these interactions are secure. Dynamic UI customization allows banks to implement security measures that are adaptive and context-aware, offering protection that is both robust and user-friendly. For example, a bank might adjust the level of security based on the type of transaction or the user’s behavior, striking a balance between security and convenience. In this way, dynamic UI customization not only enhances the customer experience but also strengthens the overall security of digital banking platforms.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y5ekkbfaxsb5" w:id="1"/>
      <w:bookmarkEnd w:id="1"/>
      <w:r w:rsidDel="00000000" w:rsidR="00000000" w:rsidRPr="00000000">
        <w:rPr>
          <w:b w:val="1"/>
          <w:color w:val="000000"/>
          <w:sz w:val="26"/>
          <w:szCs w:val="26"/>
          <w:rtl w:val="0"/>
        </w:rPr>
        <w:t xml:space="preserve">Literature Review</w:t>
      </w:r>
    </w:p>
    <w:p w:rsidR="00000000" w:rsidDel="00000000" w:rsidP="00000000" w:rsidRDefault="00000000" w:rsidRPr="00000000" w14:paraId="00000009">
      <w:pPr>
        <w:spacing w:after="240" w:before="240" w:lineRule="auto"/>
        <w:rPr/>
      </w:pPr>
      <w:r w:rsidDel="00000000" w:rsidR="00000000" w:rsidRPr="00000000">
        <w:rPr>
          <w:b w:val="1"/>
          <w:rtl w:val="0"/>
        </w:rPr>
        <w:t xml:space="preserve">Personalization as a Competitive Advantage</w:t>
      </w:r>
      <w:r w:rsidDel="00000000" w:rsidR="00000000" w:rsidRPr="00000000">
        <w:rPr>
          <w:rtl w:val="0"/>
        </w:rPr>
        <w:t xml:space="preserve">: The increasing demand for personalised digital experiences in banking is well-documented in the literature. Research by McKinsey highlights that personalised experiences can drive a 10-15% increase in revenue for financial institutions by improving customer satisfaction and loyalty. Customers are more likely to engage with banks that offer tailored services, which creates a competitive advantage for banks that successfully implement dynamic UI customization​ (1)​ (3). Additionally, Gartner predicts that by 2025, customers will be able to manage 85% of their relationships with enterprises without interacting with a human, underscoring the importance of personalised digital interactions in the banking sector​ (2).</w:t>
      </w:r>
    </w:p>
    <w:p w:rsidR="00000000" w:rsidDel="00000000" w:rsidP="00000000" w:rsidRDefault="00000000" w:rsidRPr="00000000" w14:paraId="0000000A">
      <w:pPr>
        <w:spacing w:after="240" w:before="240" w:lineRule="auto"/>
        <w:rPr/>
      </w:pPr>
      <w:r w:rsidDel="00000000" w:rsidR="00000000" w:rsidRPr="00000000">
        <w:rPr>
          <w:b w:val="1"/>
          <w:rtl w:val="0"/>
        </w:rPr>
        <w:t xml:space="preserve">Behavioral Economics and User Engagement</w:t>
      </w:r>
      <w:r w:rsidDel="00000000" w:rsidR="00000000" w:rsidRPr="00000000">
        <w:rPr>
          <w:rtl w:val="0"/>
        </w:rPr>
        <w:t xml:space="preserve">: Insights from behavioural economics also support the importance of dynamic UI customization. Studies show that when digital interfaces are tailored to individual behavioural patterns, customers are more likely to engage with the platform, complete transactions, and use additional services. This is particularly relevant in the context of financial decision-making, where personalised nudges can guide users toward more beneficial financial behaviours, thereby increasing the overall value of the banking service​ (2).</w:t>
      </w:r>
    </w:p>
    <w:p w:rsidR="00000000" w:rsidDel="00000000" w:rsidP="00000000" w:rsidRDefault="00000000" w:rsidRPr="00000000" w14:paraId="0000000B">
      <w:pPr>
        <w:spacing w:after="240" w:before="240" w:lineRule="auto"/>
        <w:rPr/>
      </w:pPr>
      <w:r w:rsidDel="00000000" w:rsidR="00000000" w:rsidRPr="00000000">
        <w:rPr>
          <w:b w:val="1"/>
          <w:rtl w:val="0"/>
        </w:rPr>
        <w:t xml:space="preserve">Cross-Channel Consistency</w:t>
      </w:r>
      <w:r w:rsidDel="00000000" w:rsidR="00000000" w:rsidRPr="00000000">
        <w:rPr>
          <w:rtl w:val="0"/>
        </w:rPr>
        <w:t xml:space="preserve">: The literature also emphasises the need for consistency in UI customization across different digital channels. As customers interact with banks through various platforms—mobile apps, web portals, and even wearables—ensuring a seamless and uniform experience across these channels is crucial. Research by Capgemini indicates that inconsistent experiences across channels can lead to customer frustration and a higher likelihood of switching to competitors who offer a more cohesive experience. Therefore, dynamic UI customization must be designed to maintain consistency while still being responsive to individual user needs across all touchpoints​ (1)​ (2).</w:t>
      </w:r>
    </w:p>
    <w:p w:rsidR="00000000" w:rsidDel="00000000" w:rsidP="00000000" w:rsidRDefault="00000000" w:rsidRPr="00000000" w14:paraId="0000000C">
      <w:pPr>
        <w:spacing w:after="240" w:before="240" w:lineRule="auto"/>
        <w:rPr/>
      </w:pPr>
      <w:r w:rsidDel="00000000" w:rsidR="00000000" w:rsidRPr="00000000">
        <w:rPr>
          <w:b w:val="1"/>
          <w:rtl w:val="0"/>
        </w:rPr>
        <w:t xml:space="preserve">Customer Data Utilization and Ethical Considerations</w:t>
      </w:r>
      <w:r w:rsidDel="00000000" w:rsidR="00000000" w:rsidRPr="00000000">
        <w:rPr>
          <w:rtl w:val="0"/>
        </w:rPr>
        <w:t xml:space="preserve">: The use of customer data for dynamic UI customization also raises important ethical considerations. Literature from the Journal of Business Ethics discusses the balance between personalization and privacy, highlighting the need for banks to be transparent about how they use customer data. Ethical data practices not only ensure compliance with regulations but also build trust with customers, who are more likely to share their data if they believe it will be used responsibly​ (1)​ (2). Furthermore, research from the International Journal of Information Management suggests that ethical data usage can enhance the perceived value of personalised services, thereby strengthening the customer-bank relationship.</w:t>
      </w:r>
    </w:p>
    <w:p w:rsidR="00000000" w:rsidDel="00000000" w:rsidP="00000000" w:rsidRDefault="00000000" w:rsidRPr="00000000" w14:paraId="0000000D">
      <w:pPr>
        <w:spacing w:after="240" w:before="240" w:lineRule="auto"/>
        <w:rPr/>
      </w:pPr>
      <w:r w:rsidDel="00000000" w:rsidR="00000000" w:rsidRPr="00000000">
        <w:rPr>
          <w:b w:val="1"/>
          <w:rtl w:val="0"/>
        </w:rPr>
        <w:t xml:space="preserve">Technology Adoption and Implementation Challenges</w:t>
      </w:r>
      <w:r w:rsidDel="00000000" w:rsidR="00000000" w:rsidRPr="00000000">
        <w:rPr>
          <w:rtl w:val="0"/>
        </w:rPr>
        <w:t xml:space="preserve">: Finally, the literature acknowledges the challenges associated with implementing dynamic UI customization. Banks must navigate the complexities of integrating AI and ML into legacy systems, which can be both costly and time-consuming. According to a report by Accenture, nearly 80% of banks cite technology integration as a significant barrier to digital transformation. However, those that successfully overcome these challenges are well-positioned to reap the benefits of increased customer satisfaction, operational efficiency, and competitive differentiation​ (1)​ (2)​ (3).</w:t>
      </w:r>
    </w:p>
    <w:p w:rsidR="00000000" w:rsidDel="00000000" w:rsidP="00000000" w:rsidRDefault="00000000" w:rsidRPr="00000000" w14:paraId="0000000E">
      <w:pPr>
        <w:spacing w:after="240" w:before="240" w:lineRule="auto"/>
        <w:rPr/>
      </w:pPr>
      <w:r w:rsidDel="00000000" w:rsidR="00000000" w:rsidRPr="00000000">
        <w:rPr>
          <w:rtl w:val="0"/>
        </w:rPr>
        <w:t xml:space="preserve">These references illustrate the multifaceted nature of dynamic UI customization in digital banking, encompassing customer expectations, competitive dynamics, ethical considerations, and technological challenges. The literature consistently supports the idea that banks must invest in dynamic UI customization to remain competitive and meet the evolving needs of their customers in the digital age.</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Reference : </w:t>
      </w:r>
    </w:p>
    <w:p w:rsidR="00000000" w:rsidDel="00000000" w:rsidP="00000000" w:rsidRDefault="00000000" w:rsidRPr="00000000" w14:paraId="00000011">
      <w:pPr>
        <w:numPr>
          <w:ilvl w:val="0"/>
          <w:numId w:val="1"/>
        </w:numPr>
        <w:ind w:left="720" w:hanging="360"/>
        <w:rPr>
          <w:b w:val="1"/>
          <w:sz w:val="26"/>
          <w:szCs w:val="26"/>
          <w:u w:val="none"/>
        </w:rPr>
      </w:pPr>
      <w:hyperlink r:id="rId6">
        <w:r w:rsidDel="00000000" w:rsidR="00000000" w:rsidRPr="00000000">
          <w:rPr>
            <w:rtl w:val="0"/>
          </w:rPr>
          <w:t xml:space="preserve">https://www.finextra.com/blogposting/19276/five-digital-banking-challenges-that-can-be-solved-with-customer-centricity</w:t>
        </w:r>
      </w:hyperlink>
      <w:r w:rsidDel="00000000" w:rsidR="00000000" w:rsidRPr="00000000">
        <w:rPr>
          <w:rtl w:val="0"/>
        </w:rPr>
      </w:r>
    </w:p>
    <w:p w:rsidR="00000000" w:rsidDel="00000000" w:rsidP="00000000" w:rsidRDefault="00000000" w:rsidRPr="00000000" w14:paraId="00000012">
      <w:pPr>
        <w:numPr>
          <w:ilvl w:val="0"/>
          <w:numId w:val="1"/>
        </w:numPr>
        <w:ind w:left="720" w:hanging="360"/>
        <w:rPr>
          <w:b w:val="1"/>
          <w:sz w:val="26"/>
          <w:szCs w:val="26"/>
          <w:u w:val="none"/>
        </w:rPr>
      </w:pPr>
      <w:hyperlink r:id="rId7">
        <w:r w:rsidDel="00000000" w:rsidR="00000000" w:rsidRPr="00000000">
          <w:rPr>
            <w:rtl w:val="0"/>
          </w:rPr>
          <w:t xml:space="preserve">https://www.capgemini.com/insights/research-library/business-transformation-key-considerations-for-banking-leaders/</w:t>
        </w:r>
      </w:hyperlink>
      <w:r w:rsidDel="00000000" w:rsidR="00000000" w:rsidRPr="00000000">
        <w:rPr>
          <w:rtl w:val="0"/>
        </w:rPr>
      </w:r>
    </w:p>
    <w:p w:rsidR="00000000" w:rsidDel="00000000" w:rsidP="00000000" w:rsidRDefault="00000000" w:rsidRPr="00000000" w14:paraId="00000013">
      <w:pPr>
        <w:numPr>
          <w:ilvl w:val="0"/>
          <w:numId w:val="1"/>
        </w:numPr>
        <w:ind w:left="720" w:hanging="360"/>
        <w:rPr>
          <w:b w:val="1"/>
          <w:sz w:val="26"/>
          <w:szCs w:val="26"/>
          <w:u w:val="none"/>
        </w:rPr>
      </w:pPr>
      <w:hyperlink r:id="rId8">
        <w:r w:rsidDel="00000000" w:rsidR="00000000" w:rsidRPr="00000000">
          <w:rPr>
            <w:rtl w:val="0"/>
          </w:rPr>
          <w:t xml:space="preserve">https://www.profilesw.com/insights/five-digital-banking-challenges-for-2023/</w:t>
        </w:r>
      </w:hyperlink>
      <w:r w:rsidDel="00000000" w:rsidR="00000000" w:rsidRPr="00000000">
        <w:rPr>
          <w:rtl w:val="0"/>
        </w:rPr>
      </w:r>
    </w:p>
    <w:p w:rsidR="00000000" w:rsidDel="00000000" w:rsidP="00000000" w:rsidRDefault="00000000" w:rsidRPr="00000000" w14:paraId="00000014">
      <w:pPr>
        <w:ind w:left="720" w:firstLine="0"/>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nextra.com/blogposting/19276/five-digital-banking-challenges-that-can-be-solved-with-customer-centricity" TargetMode="External"/><Relationship Id="rId7" Type="http://schemas.openxmlformats.org/officeDocument/2006/relationships/hyperlink" Target="https://www.capgemini.com/insights/research-library/business-transformation-key-considerations-for-banking-leaders/" TargetMode="External"/><Relationship Id="rId8" Type="http://schemas.openxmlformats.org/officeDocument/2006/relationships/hyperlink" Target="https://www.profilesw.com/insights/five-digital-banking-challenges-for-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