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96" w:rsidRPr="00D343D2" w:rsidRDefault="007B1F2A">
      <w:pPr>
        <w:jc w:val="center"/>
        <w:rPr>
          <w:rFonts w:ascii="標楷體" w:eastAsia="標楷體" w:hAnsi="標楷體" w:hint="eastAsia"/>
          <w:b/>
          <w:color w:val="0B5394"/>
          <w:sz w:val="28"/>
          <w:szCs w:val="28"/>
        </w:rPr>
      </w:pPr>
      <w:r w:rsidRPr="00D343D2">
        <w:rPr>
          <w:rFonts w:ascii="標楷體" w:eastAsia="標楷體" w:hAnsi="標楷體" w:cs="Arial Unicode MS"/>
          <w:b/>
          <w:color w:val="0B5394"/>
          <w:sz w:val="28"/>
          <w:szCs w:val="28"/>
        </w:rPr>
        <w:t>第三組</w:t>
      </w:r>
      <w:r w:rsidRPr="00D343D2">
        <w:rPr>
          <w:rFonts w:ascii="標楷體" w:eastAsia="標楷體" w:hAnsi="標楷體" w:cs="Arial Unicode MS"/>
          <w:b/>
          <w:color w:val="0B5394"/>
          <w:sz w:val="28"/>
          <w:szCs w:val="28"/>
        </w:rPr>
        <w:t>-</w:t>
      </w:r>
      <w:r w:rsidRPr="00D343D2">
        <w:rPr>
          <w:rFonts w:ascii="標楷體" w:eastAsia="標楷體" w:hAnsi="標楷體" w:cs="Arial Unicode MS"/>
          <w:b/>
          <w:color w:val="0B5394"/>
          <w:sz w:val="28"/>
          <w:szCs w:val="28"/>
        </w:rPr>
        <w:t>數位敘事期末</w:t>
      </w:r>
      <w:r w:rsidR="00D343D2" w:rsidRPr="00D343D2">
        <w:rPr>
          <w:rFonts w:ascii="標楷體" w:eastAsia="標楷體" w:hAnsi="標楷體" w:cs="Arial Unicode MS" w:hint="eastAsia"/>
          <w:b/>
          <w:color w:val="0B5394"/>
          <w:sz w:val="28"/>
          <w:szCs w:val="28"/>
        </w:rPr>
        <w:t>書面報告</w:t>
      </w:r>
    </w:p>
    <w:p w:rsidR="008C7C96" w:rsidRPr="00D343D2" w:rsidRDefault="007B1F2A">
      <w:pPr>
        <w:jc w:val="center"/>
        <w:rPr>
          <w:rFonts w:ascii="標楷體" w:eastAsia="標楷體" w:hAnsi="標楷體"/>
          <w:b/>
          <w:color w:val="6AA84F"/>
          <w:sz w:val="28"/>
          <w:szCs w:val="28"/>
        </w:rPr>
      </w:pPr>
      <w:r w:rsidRPr="00D343D2">
        <w:rPr>
          <w:rFonts w:ascii="標楷體" w:eastAsia="標楷體" w:hAnsi="標楷體" w:cs="Arial Unicode MS"/>
          <w:b/>
          <w:color w:val="6AA84F"/>
          <w:sz w:val="28"/>
          <w:szCs w:val="28"/>
        </w:rPr>
        <w:t>「環境教育的重要」</w:t>
      </w:r>
    </w:p>
    <w:p w:rsidR="008C7C96" w:rsidRPr="00D343D2" w:rsidRDefault="007B1F2A">
      <w:pPr>
        <w:spacing w:line="240" w:lineRule="auto"/>
        <w:rPr>
          <w:rFonts w:ascii="微軟正黑體" w:eastAsia="微軟正黑體" w:hAnsi="微軟正黑體" w:cs="微軟正黑體"/>
          <w:b/>
          <w:sz w:val="32"/>
          <w:szCs w:val="32"/>
        </w:rPr>
      </w:pPr>
      <w:r w:rsidRPr="00D343D2">
        <w:rPr>
          <w:rFonts w:ascii="微軟正黑體" w:eastAsia="微軟正黑體" w:hAnsi="微軟正黑體" w:cs="微軟正黑體"/>
          <w:b/>
          <w:sz w:val="32"/>
          <w:szCs w:val="32"/>
        </w:rPr>
        <w:t>探討以環境教育議題融入數位敘事教學對國小生學習成效學習動機、資訊素養與學習成效的影響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研究背景與動機</w:t>
      </w:r>
    </w:p>
    <w:p w:rsidR="008C7C96" w:rsidRDefault="007B1F2A">
      <w:pPr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面對</w:t>
      </w:r>
      <w:r>
        <w:rPr>
          <w:rFonts w:ascii="微軟正黑體" w:eastAsia="微軟正黑體" w:hAnsi="微軟正黑體" w:cs="微軟正黑體"/>
          <w:sz w:val="24"/>
          <w:szCs w:val="24"/>
        </w:rPr>
        <w:t>21</w:t>
      </w:r>
      <w:r>
        <w:rPr>
          <w:rFonts w:ascii="微軟正黑體" w:eastAsia="微軟正黑體" w:hAnsi="微軟正黑體" w:cs="微軟正黑體"/>
          <w:sz w:val="24"/>
          <w:szCs w:val="24"/>
        </w:rPr>
        <w:t>世紀社會快速更迭，加速了經濟發展，卻忽略了環境保護的重要，使台灣的自然資源超限利用，生態也遭受嚴重破壞，因此環境教育逐漸成為國內、外所關注的焦點。先前有許多研究表明，繪本結合環境教育可以帶給學生許多正面影響</w:t>
      </w:r>
      <w:r>
        <w:rPr>
          <w:rFonts w:ascii="微軟正黑體" w:eastAsia="微軟正黑體" w:hAnsi="微軟正黑體" w:cs="微軟正黑體"/>
          <w:sz w:val="24"/>
          <w:szCs w:val="24"/>
        </w:rPr>
        <w:t>(</w:t>
      </w:r>
      <w:r>
        <w:rPr>
          <w:rFonts w:ascii="微軟正黑體" w:eastAsia="微軟正黑體" w:hAnsi="微軟正黑體" w:cs="微軟正黑體"/>
          <w:sz w:val="24"/>
          <w:szCs w:val="24"/>
        </w:rPr>
        <w:t>李佳璇，民</w:t>
      </w:r>
      <w:r>
        <w:rPr>
          <w:rFonts w:ascii="微軟正黑體" w:eastAsia="微軟正黑體" w:hAnsi="微軟正黑體" w:cs="微軟正黑體"/>
          <w:sz w:val="24"/>
          <w:szCs w:val="24"/>
        </w:rPr>
        <w:t>108</w:t>
      </w:r>
      <w:r>
        <w:rPr>
          <w:rFonts w:ascii="微軟正黑體" w:eastAsia="微軟正黑體" w:hAnsi="微軟正黑體" w:cs="微軟正黑體"/>
          <w:sz w:val="24"/>
          <w:szCs w:val="24"/>
        </w:rPr>
        <w:t>；李婉真，民</w:t>
      </w:r>
      <w:r>
        <w:rPr>
          <w:rFonts w:ascii="微軟正黑體" w:eastAsia="微軟正黑體" w:hAnsi="微軟正黑體" w:cs="微軟正黑體"/>
          <w:sz w:val="24"/>
          <w:szCs w:val="24"/>
        </w:rPr>
        <w:t>105</w:t>
      </w:r>
      <w:r>
        <w:rPr>
          <w:rFonts w:ascii="微軟正黑體" w:eastAsia="微軟正黑體" w:hAnsi="微軟正黑體" w:cs="微軟正黑體"/>
          <w:sz w:val="24"/>
          <w:szCs w:val="24"/>
        </w:rPr>
        <w:t>；張宛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璇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，民</w:t>
      </w:r>
      <w:r>
        <w:rPr>
          <w:rFonts w:ascii="微軟正黑體" w:eastAsia="微軟正黑體" w:hAnsi="微軟正黑體" w:cs="微軟正黑體"/>
          <w:sz w:val="24"/>
          <w:szCs w:val="24"/>
        </w:rPr>
        <w:t>107</w:t>
      </w:r>
      <w:r>
        <w:rPr>
          <w:rFonts w:ascii="微軟正黑體" w:eastAsia="微軟正黑體" w:hAnsi="微軟正黑體" w:cs="微軟正黑體"/>
          <w:sz w:val="24"/>
          <w:szCs w:val="24"/>
        </w:rPr>
        <w:t>；陳志欣，民</w:t>
      </w:r>
      <w:r>
        <w:rPr>
          <w:rFonts w:ascii="微軟正黑體" w:eastAsia="微軟正黑體" w:hAnsi="微軟正黑體" w:cs="微軟正黑體"/>
          <w:sz w:val="24"/>
          <w:szCs w:val="24"/>
        </w:rPr>
        <w:t>91)</w:t>
      </w:r>
      <w:r>
        <w:rPr>
          <w:rFonts w:ascii="微軟正黑體" w:eastAsia="微軟正黑體" w:hAnsi="微軟正黑體" w:cs="微軟正黑體"/>
          <w:sz w:val="24"/>
          <w:szCs w:val="24"/>
        </w:rPr>
        <w:t>，環境教育重視發展學生環境覺知與環境敏感度、情緒和美，而學生在閱讀繪本的同時，也可以與事實產生連結</w:t>
      </w:r>
      <w:r>
        <w:rPr>
          <w:rFonts w:ascii="微軟正黑體" w:eastAsia="微軟正黑體" w:hAnsi="微軟正黑體" w:cs="微軟正黑體"/>
          <w:sz w:val="24"/>
          <w:szCs w:val="24"/>
        </w:rPr>
        <w:t>(Crook, 1990)</w:t>
      </w:r>
      <w:r>
        <w:rPr>
          <w:rFonts w:ascii="微軟正黑體" w:eastAsia="微軟正黑體" w:hAnsi="微軟正黑體" w:cs="微軟正黑體"/>
          <w:sz w:val="24"/>
          <w:szCs w:val="24"/>
        </w:rPr>
        <w:t>，將一些事實納入虛擬的故事中，可增加學生對生態與環境問題的認知</w:t>
      </w:r>
      <w:r>
        <w:rPr>
          <w:rFonts w:ascii="微軟正黑體" w:eastAsia="微軟正黑體" w:hAnsi="微軟正黑體" w:cs="微軟正黑體"/>
          <w:sz w:val="24"/>
          <w:szCs w:val="24"/>
        </w:rPr>
        <w:t>(Dowd, 1991)</w:t>
      </w:r>
      <w:r>
        <w:rPr>
          <w:rFonts w:ascii="微軟正黑體" w:eastAsia="微軟正黑體" w:hAnsi="微軟正黑體" w:cs="微軟正黑體"/>
          <w:sz w:val="24"/>
          <w:szCs w:val="24"/>
        </w:rPr>
        <w:t>。這與數位說故事</w:t>
      </w:r>
      <w:r>
        <w:rPr>
          <w:rFonts w:ascii="微軟正黑體" w:eastAsia="微軟正黑體" w:hAnsi="微軟正黑體" w:cs="微軟正黑體"/>
          <w:sz w:val="24"/>
          <w:szCs w:val="24"/>
        </w:rPr>
        <w:t>相似，而在過去的研究中表明，說故事已成為有效的學習方法，學習者必須提出新的想法，反映他們如何為自己建構意義（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Fusai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Saudelli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Marti,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Decortis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>, &amp; Rizzo, 2003</w:t>
      </w:r>
      <w:r>
        <w:rPr>
          <w:rFonts w:ascii="微軟正黑體" w:eastAsia="微軟正黑體" w:hAnsi="微軟正黑體" w:cs="微軟正黑體"/>
          <w:sz w:val="24"/>
          <w:szCs w:val="24"/>
        </w:rPr>
        <w:t>）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。由於故事提供了一個真實的機會來吸引學習者的注意力，將抽象概念具體化，以及通過使含義更容易理解的方式，來幫助學習者比其他教學形式更積極地傾聽和學習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（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 xml:space="preserve">Isbell,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Sobol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Lindauer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&amp;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Lowrance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>,  2004)</w:t>
      </w:r>
      <w:r>
        <w:rPr>
          <w:rFonts w:ascii="微軟正黑體" w:eastAsia="微軟正黑體" w:hAnsi="微軟正黑體" w:cs="微軟正黑體"/>
          <w:sz w:val="24"/>
          <w:szCs w:val="24"/>
        </w:rPr>
        <w:t>。</w:t>
      </w:r>
      <w:r>
        <w:rPr>
          <w:rFonts w:ascii="微軟正黑體" w:eastAsia="微軟正黑體" w:hAnsi="微軟正黑體" w:cs="微軟正黑體"/>
          <w:sz w:val="24"/>
          <w:szCs w:val="24"/>
        </w:rPr>
        <w:t>Mayer(2002)</w:t>
      </w:r>
      <w:r>
        <w:rPr>
          <w:rFonts w:ascii="微軟正黑體" w:eastAsia="微軟正黑體" w:hAnsi="微軟正黑體" w:cs="微軟正黑體"/>
          <w:sz w:val="24"/>
          <w:szCs w:val="24"/>
        </w:rPr>
        <w:t>則認為應用數位科技時，多媒體有助於增強學習表現，</w:t>
      </w:r>
      <w:r>
        <w:rPr>
          <w:rFonts w:ascii="微軟正黑體" w:eastAsia="微軟正黑體" w:hAnsi="微軟正黑體" w:cs="微軟正黑體"/>
          <w:sz w:val="24"/>
          <w:szCs w:val="24"/>
        </w:rPr>
        <w:t>包含學習動機、專注力等，因此同時使用文字和圖片呈現時，學習者可以更好地理解與有意義的學習。在過去的教育中，教師大多以講述的方式進行教學，學生只能以記憶、背誦的方式進行學習，無法更深入思考概念背後的意義，而數位敘事強調「做中學」的學習方式，以學習者為中心，能透過說故事並結合自身經驗來建構意義與學習。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研究目的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探討以環境教育議題融入數位敘事，對國小生學習動機的影響。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探討以環境教育議題融入數位敘事，對國小生學習成效的影響。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探討以環境教育議題融入數位敘事，對國小生學習態度的影響。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研究問題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與傳統授課相比，以環境教育議題融入數位敘事是否能提升國小生的學習動機</w:t>
      </w:r>
      <w:r>
        <w:rPr>
          <w:rFonts w:ascii="微軟正黑體" w:eastAsia="微軟正黑體" w:hAnsi="微軟正黑體" w:cs="微軟正黑體"/>
          <w:sz w:val="26"/>
          <w:szCs w:val="26"/>
        </w:rPr>
        <w:t>?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lastRenderedPageBreak/>
        <w:t>與傳統授課相比，以環境教育議題融入數位敘事是否能提升國小生的學習成效</w:t>
      </w:r>
      <w:r>
        <w:rPr>
          <w:rFonts w:ascii="微軟正黑體" w:eastAsia="微軟正黑體" w:hAnsi="微軟正黑體" w:cs="微軟正黑體"/>
          <w:sz w:val="26"/>
          <w:szCs w:val="26"/>
        </w:rPr>
        <w:t>?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與傳統授課相比，以環境教育議題融入數位敘事是否能提升國小生的學習態度</w:t>
      </w:r>
      <w:r>
        <w:rPr>
          <w:rFonts w:ascii="微軟正黑體" w:eastAsia="微軟正黑體" w:hAnsi="微軟正黑體" w:cs="微軟正黑體"/>
          <w:sz w:val="26"/>
          <w:szCs w:val="26"/>
        </w:rPr>
        <w:t>?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研究設計</w:t>
      </w:r>
    </w:p>
    <w:p w:rsidR="008C7C96" w:rsidRDefault="007B1F2A">
      <w:pPr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本實驗採用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準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實驗之實驗設計，分為實驗組與對照組，兩組進行學習動機、學習成效、學習態度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之前測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，接著實驗組進行「以環境教育議題融入數位敘事」之教學活動；對照組則採用傳統講述式教學。於教學活動後兩組進行學習動機、學習成效、學習態度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之後測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。</w:t>
      </w:r>
    </w:p>
    <w:p w:rsidR="008C7C96" w:rsidRDefault="007B1F2A">
      <w:pPr>
        <w:numPr>
          <w:ilvl w:val="0"/>
          <w:numId w:val="3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研究對象：</w:t>
      </w:r>
      <w:r w:rsidRPr="00D343D2">
        <w:rPr>
          <w:rFonts w:ascii="微軟正黑體" w:eastAsia="微軟正黑體" w:hAnsi="微軟正黑體" w:cs="微軟正黑體"/>
          <w:sz w:val="24"/>
          <w:szCs w:val="26"/>
        </w:rPr>
        <w:t>某國小五年級學生</w:t>
      </w:r>
    </w:p>
    <w:p w:rsidR="008C7C96" w:rsidRDefault="007B1F2A">
      <w:pPr>
        <w:numPr>
          <w:ilvl w:val="0"/>
          <w:numId w:val="3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研究架構：</w:t>
      </w:r>
    </w:p>
    <w:p w:rsidR="008C7C96" w:rsidRDefault="007B1F2A">
      <w:pPr>
        <w:ind w:left="720"/>
        <w:jc w:val="center"/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noProof/>
          <w:sz w:val="26"/>
          <w:szCs w:val="26"/>
        </w:rPr>
        <mc:AlternateContent>
          <mc:Choice Requires="wpg">
            <w:drawing>
              <wp:inline distT="114300" distB="114300" distL="114300" distR="114300">
                <wp:extent cx="4111463" cy="1614587"/>
                <wp:effectExtent l="0" t="0" r="0" b="0"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1463" cy="1614587"/>
                          <a:chOff x="1029300" y="1022800"/>
                          <a:chExt cx="4799400" cy="1878450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1029450" y="1406350"/>
                            <a:ext cx="2193300" cy="1494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數位敘事教學法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029300" y="1022800"/>
                            <a:ext cx="21933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自變項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直線單箭頭接點 62"/>
                        <wps:cNvCnPr/>
                        <wps:spPr>
                          <a:xfrm>
                            <a:off x="3222750" y="2153800"/>
                            <a:ext cx="796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矩形 63"/>
                        <wps:cNvSpPr/>
                        <wps:spPr>
                          <a:xfrm>
                            <a:off x="4019100" y="1406350"/>
                            <a:ext cx="1809600" cy="1494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學習動機</w:t>
                              </w:r>
                            </w:p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學習成效</w:t>
                              </w:r>
                            </w:p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學習態度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4019100" y="1022800"/>
                            <a:ext cx="18096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依變項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" o:spid="_x0000_s1026" style="width:323.75pt;height:127.15pt;mso-position-horizontal-relative:char;mso-position-vertical-relative:line" coordorigin="10293,10228" coordsize="47994,1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">
                <v:rect id="矩形 60" o:spid="_x0000_s1027" style="position:absolute;left:10294;top:14063;width:21933;height:14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數位敘事教學法</w:t>
                        </w:r>
                      </w:p>
                    </w:txbxContent>
                  </v:textbox>
                </v:rect>
                <v:rect id="矩形 61" o:spid="_x0000_s1028" style="position:absolute;left:10293;top:10228;width:21933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自變項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62" o:spid="_x0000_s1029" type="#_x0000_t32" style="position:absolute;left:32227;top:21538;width:7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v:rect id="矩形 63" o:spid="_x0000_s1030" style="position:absolute;left:40191;top:14063;width:18096;height:14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學習動機</w:t>
                        </w:r>
                      </w:p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學習成效</w:t>
                        </w:r>
                      </w:p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學習態度</w:t>
                        </w:r>
                      </w:p>
                    </w:txbxContent>
                  </v:textbox>
                </v:rect>
                <v:rect id="矩形 64" o:spid="_x0000_s1031" style="position:absolute;left:40191;top:10228;width:18096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依變項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C7C96" w:rsidRDefault="007B1F2A">
      <w:pPr>
        <w:rPr>
          <w:b/>
          <w:color w:val="222222"/>
          <w:sz w:val="20"/>
          <w:szCs w:val="20"/>
          <w:highlight w:val="white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參考文獻</w:t>
      </w:r>
    </w:p>
    <w:p w:rsidR="008C7C96" w:rsidRDefault="007B1F2A">
      <w:pPr>
        <w:spacing w:after="200"/>
        <w:rPr>
          <w:rFonts w:ascii="標楷體" w:eastAsia="標楷體" w:hAnsi="標楷體" w:cs="標楷體"/>
          <w:color w:val="222222"/>
          <w:sz w:val="24"/>
          <w:szCs w:val="24"/>
          <w:highlight w:val="white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李佳璇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(2019)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。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電子綠繪本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對應十二年國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教課綱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之環境教育議題五大學習主題內涵分析。臺北市立大學學習與媒材設計學系課程與教學碩士班碩士論文，台北市。</w:t>
      </w:r>
    </w:p>
    <w:p w:rsidR="008C7C96" w:rsidRDefault="007B1F2A">
      <w:pPr>
        <w:spacing w:after="200"/>
        <w:rPr>
          <w:rFonts w:ascii="標楷體" w:eastAsia="標楷體" w:hAnsi="標楷體" w:cs="標楷體"/>
          <w:color w:val="222222"/>
          <w:sz w:val="24"/>
          <w:szCs w:val="24"/>
          <w:highlight w:val="white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李婉真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 xml:space="preserve">. (2016). 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運用繪本教學提升國小低年級學生合作技巧之行動研究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─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 xml:space="preserve"> 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以傾聽為例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 xml:space="preserve">. </w:t>
      </w:r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國立</w:t>
      </w:r>
      <w:proofErr w:type="gramStart"/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臺</w:t>
      </w:r>
      <w:proofErr w:type="gramEnd"/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北教育大學課程與教學研究所學位論文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, 1-227.</w:t>
      </w:r>
    </w:p>
    <w:p w:rsidR="008C7C96" w:rsidRDefault="007B1F2A">
      <w:pPr>
        <w:spacing w:after="20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張宛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璇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(2018)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。國小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三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年級利用繪本進行環境教育之行動研究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—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以垃圾處理為例。國立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臺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北教育大學，臺北市。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陳志欣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(2002)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。環境議題教學對國小學童環境認知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 xml:space="preserve">, 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態度及行為之影響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 xml:space="preserve">. </w:t>
      </w:r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國立屏東師範學院數理教育研究所碩士論文</w:t>
      </w:r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 xml:space="preserve"> (</w:t>
      </w:r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未出版</w:t>
      </w:r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)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.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Crook, P. R., &amp; Lehman, B. A. (1990). On track with trade books.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Science and Children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22-23.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Dowd, K. (1991). Storybooks: Stimulating science starters.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School Library Media Quarterly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19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105-108.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Fusai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C.,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Saudelli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B., Marti, P.,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Decortis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, F., &amp; Rizzo, A. (2003). Media composition and narrative performance at school.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 xml:space="preserve"> Journal of Computer Assisted Learning, 19(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2), 177-185.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lastRenderedPageBreak/>
        <w:t xml:space="preserve">Isbell, R.,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Sobol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J.,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Lindauer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L., &amp;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Lowrance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, A. (2004). The effects of storytelling and story reading on the oral language complexity and story comprehension of young children.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 xml:space="preserve"> Early childhood education journal, 32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(3), 157-163.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Mayer, R. E. (2002). Mul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timedia learning. In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Psychology of learning and motivation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(Vol. 41, pp. 85-139). Academic Press.</w:t>
      </w:r>
    </w:p>
    <w:sectPr w:rsidR="008C7C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F2A" w:rsidRDefault="007B1F2A" w:rsidP="00D343D2">
      <w:pPr>
        <w:spacing w:line="240" w:lineRule="auto"/>
      </w:pPr>
      <w:r>
        <w:separator/>
      </w:r>
    </w:p>
  </w:endnote>
  <w:endnote w:type="continuationSeparator" w:id="0">
    <w:p w:rsidR="007B1F2A" w:rsidRDefault="007B1F2A" w:rsidP="00D34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D2" w:rsidRDefault="00D343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D2" w:rsidRDefault="00D343D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D2" w:rsidRDefault="00D343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F2A" w:rsidRDefault="007B1F2A" w:rsidP="00D343D2">
      <w:pPr>
        <w:spacing w:line="240" w:lineRule="auto"/>
      </w:pPr>
      <w:r>
        <w:separator/>
      </w:r>
    </w:p>
  </w:footnote>
  <w:footnote w:type="continuationSeparator" w:id="0">
    <w:p w:rsidR="007B1F2A" w:rsidRDefault="007B1F2A" w:rsidP="00D34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D2" w:rsidRDefault="00D343D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D2" w:rsidRDefault="00D343D2" w:rsidP="00D343D2">
    <w:pPr>
      <w:pStyle w:val="a5"/>
      <w:jc w:val="right"/>
    </w:pPr>
    <w:bookmarkStart w:id="0" w:name="_GoBack"/>
    <w:r>
      <w:rPr>
        <w:rFonts w:hint="eastAsia"/>
      </w:rPr>
      <w:t>M</w:t>
    </w:r>
    <w:r>
      <w:t>10811014</w:t>
    </w:r>
    <w:r>
      <w:rPr>
        <w:rFonts w:hint="eastAsia"/>
      </w:rPr>
      <w:t>陳庭瑤、</w:t>
    </w:r>
    <w:r>
      <w:rPr>
        <w:rFonts w:hint="eastAsia"/>
      </w:rPr>
      <w:t>M</w:t>
    </w:r>
    <w:r>
      <w:t>10811016</w:t>
    </w:r>
    <w:r>
      <w:rPr>
        <w:rFonts w:hint="eastAsia"/>
      </w:rPr>
      <w:t>潘姿佑、</w:t>
    </w:r>
    <w:r>
      <w:rPr>
        <w:rFonts w:hint="eastAsia"/>
      </w:rPr>
      <w:t>M10811019</w:t>
    </w:r>
    <w:r>
      <w:rPr>
        <w:rFonts w:hint="eastAsia"/>
      </w:rPr>
      <w:t>林聖</w:t>
    </w:r>
    <w:proofErr w:type="gramStart"/>
    <w:r>
      <w:rPr>
        <w:rFonts w:hint="eastAsia"/>
      </w:rPr>
      <w:t>閔</w:t>
    </w:r>
    <w:bookmarkEnd w:id="0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D2" w:rsidRDefault="00D343D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6CFD"/>
    <w:multiLevelType w:val="multilevel"/>
    <w:tmpl w:val="00D6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7D3239"/>
    <w:multiLevelType w:val="multilevel"/>
    <w:tmpl w:val="C3FE5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6F593E"/>
    <w:multiLevelType w:val="multilevel"/>
    <w:tmpl w:val="E8A0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96"/>
    <w:rsid w:val="007B1F2A"/>
    <w:rsid w:val="008C7C96"/>
    <w:rsid w:val="00D3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C377D"/>
  <w15:docId w15:val="{7C66D5AC-4D2B-43E0-B03D-82495EEE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D343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43D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43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43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1</cp:revision>
  <dcterms:created xsi:type="dcterms:W3CDTF">2021-01-03T14:37:00Z</dcterms:created>
  <dcterms:modified xsi:type="dcterms:W3CDTF">2021-01-03T14:44:00Z</dcterms:modified>
</cp:coreProperties>
</file>