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96" w:rsidRPr="00D343D2" w:rsidRDefault="007B1F2A">
      <w:pPr>
        <w:jc w:val="center"/>
        <w:rPr>
          <w:rFonts w:ascii="標楷體" w:eastAsia="標楷體" w:hAnsi="標楷體"/>
          <w:b/>
          <w:color w:val="0B5394"/>
          <w:sz w:val="28"/>
          <w:szCs w:val="28"/>
        </w:rPr>
      </w:pPr>
      <w:r w:rsidRPr="00D343D2">
        <w:rPr>
          <w:rFonts w:ascii="標楷體" w:eastAsia="標楷體" w:hAnsi="標楷體" w:cs="Arial Unicode MS"/>
          <w:b/>
          <w:color w:val="0B5394"/>
          <w:sz w:val="28"/>
          <w:szCs w:val="28"/>
        </w:rPr>
        <w:t>第三組-數位敘事期末</w:t>
      </w:r>
      <w:r w:rsidR="00D343D2" w:rsidRPr="00D343D2">
        <w:rPr>
          <w:rFonts w:ascii="標楷體" w:eastAsia="標楷體" w:hAnsi="標楷體" w:cs="Arial Unicode MS" w:hint="eastAsia"/>
          <w:b/>
          <w:color w:val="0B5394"/>
          <w:sz w:val="28"/>
          <w:szCs w:val="28"/>
        </w:rPr>
        <w:t>書面報告</w:t>
      </w:r>
    </w:p>
    <w:p w:rsidR="008C7C96" w:rsidRPr="00D343D2" w:rsidRDefault="007B1F2A">
      <w:pPr>
        <w:jc w:val="center"/>
        <w:rPr>
          <w:rFonts w:ascii="標楷體" w:eastAsia="標楷體" w:hAnsi="標楷體"/>
          <w:b/>
          <w:color w:val="6AA84F"/>
          <w:sz w:val="28"/>
          <w:szCs w:val="28"/>
        </w:rPr>
      </w:pPr>
      <w:r w:rsidRPr="00D343D2">
        <w:rPr>
          <w:rFonts w:ascii="標楷體" w:eastAsia="標楷體" w:hAnsi="標楷體" w:cs="Arial Unicode MS"/>
          <w:b/>
          <w:color w:val="6AA84F"/>
          <w:sz w:val="28"/>
          <w:szCs w:val="28"/>
        </w:rPr>
        <w:t>「環境教育的重要」</w:t>
      </w:r>
    </w:p>
    <w:p w:rsidR="008C7C96" w:rsidRPr="00D343D2" w:rsidRDefault="00620466">
      <w:pPr>
        <w:spacing w:line="240" w:lineRule="auto"/>
        <w:rPr>
          <w:rFonts w:ascii="微軟正黑體" w:eastAsia="微軟正黑體" w:hAnsi="微軟正黑體" w:cs="微軟正黑體"/>
          <w:b/>
          <w:sz w:val="32"/>
          <w:szCs w:val="32"/>
        </w:rPr>
      </w:pPr>
      <w:r w:rsidRPr="00620466">
        <w:rPr>
          <w:rFonts w:ascii="微軟正黑體" w:eastAsia="微軟正黑體" w:hAnsi="微軟正黑體" w:cs="微軟正黑體" w:hint="eastAsia"/>
          <w:b/>
          <w:sz w:val="32"/>
          <w:szCs w:val="32"/>
        </w:rPr>
        <w:t>探討以環境教育議題融入數位敘事教學對國小生學習動機、學習成效與學習態度的影響</w:t>
      </w:r>
      <w:bookmarkStart w:id="0" w:name="_GoBack"/>
      <w:bookmarkEnd w:id="0"/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研究背景與動機</w:t>
      </w:r>
    </w:p>
    <w:p w:rsidR="008C7C96" w:rsidRDefault="007B1F2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面對21世紀社會快速更迭，加速了經濟發展，卻忽略了環境保護的重要，使台灣的自然資源超限利用，生態也遭受嚴重破壞，因此環境教育逐漸成為國內、外所關注的焦點。先前有許多研究表明，繪本結合環境教育可以帶給學生許多正面影響(李佳璇，民108；李婉真，民105；張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璇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，民107；陳志欣，民91)，環境教育重視發展學生環境覺知與環境敏感度、情緒和美，而學生在閱讀繪本的同時，也可以與事實產生連結(Crook, 1990)，將一些事實納入虛擬的故事中，可增加學生對生態與環境問題的認知(Dowd, 1991)。這與數位說故事相似，而在過去的研究中表明，說故事已成為有效的學習方法，學習者必須提出新的想法，反映他們如何為自己建構意義（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Fusai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Saudelli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Marti,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Decortis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, &amp; Rizzo, 2003） 。由於故事提供了一個真實的機會來吸引學習者的注意力，將抽象概念具體化，以及通過使含義更容易理解的方式，來幫助學習者比其他教學形式更積極地傾聽和學習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Isbell,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Sobol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Lindauer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&amp;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Lowrance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,  2004)。Mayer(2002)則認為應用數位科技時，多媒體有助於增強學習表現，包含學習動機、專注力等，因此同時使用文字和圖片呈現時，學習者可以更好地理解與有意義的學習。在過去的教育中，教師大多以講述的方式進行教學，學生只能以記憶、背誦的方式進行學習，無法更深入思考概念背後的意義，而數位敘事強調「做中學」的學習方式，以學習者為中心，能透過說故事並結合自身經驗來建構意義與學習。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研究目的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探討以環境教育議題融入數位敘事，對國小生學習動機的影響。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探討以環境教育議題融入數位敘事，對國小生學習成效的影響。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探討以環境教育議題融入數位敘事，對國小生學習態度的影響。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研究問題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與傳統授課相比，以環境教育議題融入數位敘事是否能提升國小生的學習動機?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lastRenderedPageBreak/>
        <w:t>與傳統授課相比，以環境教育議題融入數位敘事是否能提升國小生的學習成效?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與傳統授課相比，以環境教育議題融入數位敘事是否能提升國小生的學習態度?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研究設計</w:t>
      </w:r>
    </w:p>
    <w:p w:rsidR="008C7C96" w:rsidRDefault="007B1F2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本實驗採用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準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實驗之實驗設計，分為實驗組與對照組，兩組進行學習動機、學習成效、學習態度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之前測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，接著實驗組進行「以環境教育議題融入數位敘事」之教學活動；對照組則採用傳統講述式教學。於教學活動後兩組進行學習動機、學習成效、學習態度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之後測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。</w:t>
      </w:r>
    </w:p>
    <w:p w:rsidR="008C7C96" w:rsidRDefault="007B1F2A">
      <w:pPr>
        <w:numPr>
          <w:ilvl w:val="0"/>
          <w:numId w:val="3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研究對象：</w:t>
      </w:r>
      <w:r w:rsidRPr="00D343D2">
        <w:rPr>
          <w:rFonts w:ascii="微軟正黑體" w:eastAsia="微軟正黑體" w:hAnsi="微軟正黑體" w:cs="微軟正黑體"/>
          <w:sz w:val="24"/>
          <w:szCs w:val="26"/>
        </w:rPr>
        <w:t>某國小五年級學生</w:t>
      </w:r>
    </w:p>
    <w:p w:rsidR="008C7C96" w:rsidRDefault="007B1F2A">
      <w:pPr>
        <w:numPr>
          <w:ilvl w:val="0"/>
          <w:numId w:val="3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研究架構：</w:t>
      </w:r>
    </w:p>
    <w:p w:rsidR="008C7C96" w:rsidRDefault="007B1F2A">
      <w:pPr>
        <w:ind w:left="720"/>
        <w:jc w:val="center"/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noProof/>
          <w:sz w:val="26"/>
          <w:szCs w:val="26"/>
        </w:rPr>
        <mc:AlternateContent>
          <mc:Choice Requires="wpg">
            <w:drawing>
              <wp:inline distT="114300" distB="114300" distL="114300" distR="114300">
                <wp:extent cx="4111463" cy="1614587"/>
                <wp:effectExtent l="0" t="0" r="0" b="0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1463" cy="1614587"/>
                          <a:chOff x="1029300" y="1022800"/>
                          <a:chExt cx="4799400" cy="187845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1029450" y="1406350"/>
                            <a:ext cx="2193300" cy="1494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數位敘事教學法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029300" y="1022800"/>
                            <a:ext cx="21933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自變項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直線單箭頭接點 62"/>
                        <wps:cNvCnPr/>
                        <wps:spPr>
                          <a:xfrm>
                            <a:off x="3222750" y="2153800"/>
                            <a:ext cx="796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4019100" y="1406350"/>
                            <a:ext cx="1809600" cy="1494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學習動機</w:t>
                              </w:r>
                            </w:p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學習成效</w:t>
                              </w:r>
                            </w:p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學習態度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4019100" y="1022800"/>
                            <a:ext cx="18096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依變項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" o:spid="_x0000_s1026" style="width:323.75pt;height:127.15pt;mso-position-horizontal-relative:char;mso-position-vertical-relative:line" coordorigin="10293,10228" coordsize="47994,1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">
                <v:rect id="矩形 60" o:spid="_x0000_s1027" style="position:absolute;left:10294;top:14063;width:21933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數位敘事教學法</w:t>
                        </w:r>
                      </w:p>
                    </w:txbxContent>
                  </v:textbox>
                </v:rect>
                <v:rect id="矩形 61" o:spid="_x0000_s1028" style="position:absolute;left:10293;top:10228;width:21933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自變項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62" o:spid="_x0000_s1029" type="#_x0000_t32" style="position:absolute;left:32227;top:21538;width:7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v:rect id="矩形 63" o:spid="_x0000_s1030" style="position:absolute;left:40191;top:14063;width:18096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學習動機</w:t>
                        </w:r>
                      </w:p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學習成效</w:t>
                        </w:r>
                      </w:p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學習態度</w:t>
                        </w:r>
                      </w:p>
                    </w:txbxContent>
                  </v:textbox>
                </v:rect>
                <v:rect id="矩形 64" o:spid="_x0000_s1031" style="position:absolute;left:40191;top:10228;width:18096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依變項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C7C96" w:rsidRDefault="007B1F2A">
      <w:pPr>
        <w:rPr>
          <w:b/>
          <w:color w:val="222222"/>
          <w:sz w:val="20"/>
          <w:szCs w:val="20"/>
          <w:highlight w:val="white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參考文獻</w:t>
      </w:r>
    </w:p>
    <w:p w:rsidR="008C7C96" w:rsidRDefault="007B1F2A">
      <w:pPr>
        <w:spacing w:after="200"/>
        <w:rPr>
          <w:rFonts w:ascii="標楷體" w:eastAsia="標楷體" w:hAnsi="標楷體" w:cs="標楷體"/>
          <w:color w:val="222222"/>
          <w:sz w:val="24"/>
          <w:szCs w:val="24"/>
          <w:highlight w:val="white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李佳璇(2019)。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電子綠繪本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對應十二年國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教課綱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之環境教育議題五大學習主題內涵分析。臺北市立大學學習與媒材設計學系課程與教學碩士班碩士論文，台北市。</w:t>
      </w:r>
    </w:p>
    <w:p w:rsidR="008C7C96" w:rsidRDefault="007B1F2A">
      <w:pPr>
        <w:spacing w:after="200"/>
        <w:rPr>
          <w:rFonts w:ascii="標楷體" w:eastAsia="標楷體" w:hAnsi="標楷體" w:cs="標楷體"/>
          <w:color w:val="222222"/>
          <w:sz w:val="24"/>
          <w:szCs w:val="24"/>
          <w:highlight w:val="white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李婉真. (2016). 運用繪本教學提升國小低年級學生合作技巧之行動研究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─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 以傾聽為例. 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國立</w:t>
      </w:r>
      <w:proofErr w:type="gramStart"/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臺</w:t>
      </w:r>
      <w:proofErr w:type="gramEnd"/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北教育大學課程與教學研究所學位論文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, 1-227.</w:t>
      </w:r>
    </w:p>
    <w:p w:rsidR="008C7C96" w:rsidRDefault="007B1F2A">
      <w:pPr>
        <w:spacing w:after="2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張宛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璇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(2018)。國小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三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年級利用繪本進行環境教育之行動研究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—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以垃圾處理為例。國立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臺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北教育大學，臺北市。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陳志欣(2002)。環境議題教學對國小學童環境認知, 態度及行為之影響. 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國立屏東師範學院數理教育研究所碩士論文 (未出版)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.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Crook, P. R., &amp; Lehman, B. A. (1990). On track with trade books.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Science and Children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22-23.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Dowd, K. (1991). Storybooks: Stimulating science starters.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School Library Media Quarterly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19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105-108.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Fusai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C.,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Saudelli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B., Marti, P.,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Decortis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F., &amp; Rizzo, A. (2003). Media composition and narrative performance at school.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 xml:space="preserve"> Journal of Computer Assisted Learning, 19(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2), 177-185.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lastRenderedPageBreak/>
        <w:t xml:space="preserve">Isbell, R.,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Sobol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Lindauer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L., &amp;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Lowrance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A. (2004). The effects of storytelling and story reading on the oral language complexity and story comprehension of young children.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 xml:space="preserve"> Early childhood education journal, 32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(3), 157-163.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Mayer, R. E. (2002). Multimedia learning. In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Psychology of learning and motivation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(Vol. 41, pp. 85-139). Academic Press.</w:t>
      </w:r>
    </w:p>
    <w:sectPr w:rsidR="008C7C96">
      <w:headerReference w:type="default" r:id="rId7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EE" w:rsidRDefault="008D13EE" w:rsidP="00D343D2">
      <w:pPr>
        <w:spacing w:line="240" w:lineRule="auto"/>
      </w:pPr>
      <w:r>
        <w:separator/>
      </w:r>
    </w:p>
  </w:endnote>
  <w:endnote w:type="continuationSeparator" w:id="0">
    <w:p w:rsidR="008D13EE" w:rsidRDefault="008D13EE" w:rsidP="00D34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EE" w:rsidRDefault="008D13EE" w:rsidP="00D343D2">
      <w:pPr>
        <w:spacing w:line="240" w:lineRule="auto"/>
      </w:pPr>
      <w:r>
        <w:separator/>
      </w:r>
    </w:p>
  </w:footnote>
  <w:footnote w:type="continuationSeparator" w:id="0">
    <w:p w:rsidR="008D13EE" w:rsidRDefault="008D13EE" w:rsidP="00D34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 w:rsidP="00D343D2">
    <w:pPr>
      <w:pStyle w:val="a5"/>
      <w:jc w:val="right"/>
    </w:pPr>
    <w:r>
      <w:rPr>
        <w:rFonts w:hint="eastAsia"/>
      </w:rPr>
      <w:t>M</w:t>
    </w:r>
    <w:r>
      <w:t>10811014</w:t>
    </w:r>
    <w:r>
      <w:rPr>
        <w:rFonts w:hint="eastAsia"/>
      </w:rPr>
      <w:t>陳庭瑤、</w:t>
    </w:r>
    <w:r>
      <w:rPr>
        <w:rFonts w:hint="eastAsia"/>
      </w:rPr>
      <w:t>M</w:t>
    </w:r>
    <w:r>
      <w:t>10811016</w:t>
    </w:r>
    <w:r>
      <w:rPr>
        <w:rFonts w:hint="eastAsia"/>
      </w:rPr>
      <w:t>潘姿佑、</w:t>
    </w:r>
    <w:r>
      <w:rPr>
        <w:rFonts w:hint="eastAsia"/>
      </w:rPr>
      <w:t>M10811019</w:t>
    </w:r>
    <w:r>
      <w:rPr>
        <w:rFonts w:hint="eastAsia"/>
      </w:rPr>
      <w:t>林聖</w:t>
    </w:r>
    <w:proofErr w:type="gramStart"/>
    <w:r>
      <w:rPr>
        <w:rFonts w:hint="eastAsia"/>
      </w:rPr>
      <w:t>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6CFD"/>
    <w:multiLevelType w:val="multilevel"/>
    <w:tmpl w:val="00D6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D3239"/>
    <w:multiLevelType w:val="multilevel"/>
    <w:tmpl w:val="C3FE5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6F593E"/>
    <w:multiLevelType w:val="multilevel"/>
    <w:tmpl w:val="E8A0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96"/>
    <w:rsid w:val="00471185"/>
    <w:rsid w:val="00620466"/>
    <w:rsid w:val="007B1F2A"/>
    <w:rsid w:val="008C7C96"/>
    <w:rsid w:val="008D13EE"/>
    <w:rsid w:val="00AE1850"/>
    <w:rsid w:val="00D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6D5AC-4D2B-43E0-B03D-82495EEE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D343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43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43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43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3</cp:revision>
  <dcterms:created xsi:type="dcterms:W3CDTF">2021-01-03T14:37:00Z</dcterms:created>
  <dcterms:modified xsi:type="dcterms:W3CDTF">2021-01-03T14:54:00Z</dcterms:modified>
</cp:coreProperties>
</file>