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hAnsi="Arial" w:eastAsia="Arial" w:cs="Arial"/>
          <w:b/>
          <w:sz w:val="21"/>
          <w:szCs w:val="21"/>
        </w:rPr>
        <w:t>»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>
      <w:pPr>
        <w:jc w:val="center"/>
        <w:rPr>
          <w:b/>
        </w:rPr>
      </w:pPr>
      <w:r>
        <w:rPr>
          <w:b/>
        </w:rPr>
        <w:t>Кафедра Э-2 “ПОРШНЕВЫЕ ДВИГАТЕЛИ”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Домашнее задание по курсу “Конструирование и расчет двигателей”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right"/>
        <w:rPr>
          <w:b/>
        </w:rPr>
      </w:pPr>
    </w:p>
    <w:p>
      <w:pPr>
        <w:jc w:val="right"/>
        <w:rPr>
          <w:b/>
        </w:rPr>
      </w:pPr>
      <w:r>
        <w:rPr>
          <w:b/>
        </w:rPr>
        <w:t>Выполнил:</w:t>
      </w:r>
    </w:p>
    <w:p>
      <w:pPr>
        <w:jc w:val="right"/>
      </w:pPr>
      <w:r>
        <w:t xml:space="preserve"> Студент группы Э2-81Б</w:t>
      </w:r>
    </w:p>
    <w:p>
      <w:pPr>
        <w:jc w:val="right"/>
      </w:pPr>
      <w:r>
        <w:t>Вяликов Д.В.</w:t>
      </w:r>
    </w:p>
    <w:p>
      <w:pPr>
        <w:jc w:val="right"/>
      </w:pPr>
    </w:p>
    <w:p>
      <w:pPr>
        <w:jc w:val="right"/>
        <w:rPr>
          <w:b/>
        </w:rPr>
      </w:pPr>
      <w:r>
        <w:rPr>
          <w:b/>
        </w:rPr>
        <w:tab/>
      </w:r>
    </w:p>
    <w:p>
      <w:pPr>
        <w:jc w:val="right"/>
        <w:rPr>
          <w:b/>
        </w:rPr>
      </w:pPr>
      <w:r>
        <w:rPr>
          <w:b/>
        </w:rPr>
        <w:t xml:space="preserve"> Преподаватель:</w:t>
      </w:r>
    </w:p>
    <w:p>
      <w:pPr>
        <w:jc w:val="right"/>
      </w:pPr>
      <w:r>
        <w:t>Мягков Л.Л.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Москва</w:t>
      </w:r>
    </w:p>
    <w:p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hAnsi="Times New Roman" w:cs="Times New Roman" w:eastAsiaTheme="minorHAnsi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20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"_Toc71563155" </w:instrText>
          </w:r>
          <w:r>
            <w:fldChar w:fldCharType="separate"/>
          </w:r>
          <w:r>
            <w:rPr>
              <w:rStyle w:val="6"/>
              <w:rFonts w:cs="Times New Roman"/>
            </w:rPr>
            <w:t>1 Цель задания</w:t>
          </w:r>
          <w:r>
            <w:tab/>
          </w:r>
          <w:r>
            <w:fldChar w:fldCharType="begin"/>
          </w:r>
          <w:r>
            <w:instrText xml:space="preserve"> PAGEREF _Toc71563155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"_Toc71563156" </w:instrText>
          </w:r>
          <w:r>
            <w:fldChar w:fldCharType="separate"/>
          </w:r>
          <w:r>
            <w:rPr>
              <w:rStyle w:val="6"/>
            </w:rPr>
            <w:t>2 Исходные данные</w:t>
          </w:r>
          <w:r>
            <w:tab/>
          </w:r>
          <w:r>
            <w:fldChar w:fldCharType="begin"/>
          </w:r>
          <w:r>
            <w:instrText xml:space="preserve"> PAGEREF _Toc71563156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"_Toc71563157" </w:instrText>
          </w:r>
          <w:r>
            <w:fldChar w:fldCharType="separate"/>
          </w:r>
          <w:r>
            <w:rPr>
              <w:rStyle w:val="6"/>
              <w:rFonts w:cs="Times New Roman"/>
            </w:rPr>
            <w:t>3 Прочностной анализ коленчатого вала с помощью аналитического метода (Коэффициенты концентрации по Лейкину)</w:t>
          </w:r>
          <w:r>
            <w:tab/>
          </w:r>
          <w:r>
            <w:fldChar w:fldCharType="begin"/>
          </w:r>
          <w:r>
            <w:instrText xml:space="preserve"> PAGEREF _Toc71563157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"_Toc71563158" </w:instrText>
          </w:r>
          <w:r>
            <w:fldChar w:fldCharType="separate"/>
          </w:r>
          <w:r>
            <w:rPr>
              <w:rStyle w:val="6"/>
            </w:rPr>
            <w:t>4 Прочностной расчёт коленчатого вала  с помощью МКЭ</w:t>
          </w:r>
          <w:r>
            <w:tab/>
          </w:r>
          <w:r>
            <w:fldChar w:fldCharType="begin"/>
          </w:r>
          <w:r>
            <w:instrText xml:space="preserve"> PAGEREF _Toc71563158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"_Toc71563159" </w:instrText>
          </w:r>
          <w:r>
            <w:fldChar w:fldCharType="separate"/>
          </w:r>
          <w:r>
            <w:rPr>
              <w:rStyle w:val="6"/>
              <w:rFonts w:cs="Times New Roman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_Toc71563159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"_Toc71563160" </w:instrText>
          </w:r>
          <w:r>
            <w:fldChar w:fldCharType="separate"/>
          </w:r>
          <w:r>
            <w:rPr>
              <w:rStyle w:val="6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_Toc71563160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0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0"/>
        <w:rPr>
          <w:b/>
        </w:rPr>
      </w:pPr>
    </w:p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" w:name="_Toc71563155"/>
      <w:r>
        <w:rPr>
          <w:rFonts w:cs="Times New Roman"/>
          <w:szCs w:val="28"/>
        </w:rPr>
        <w:t>1 Цель задания</w:t>
      </w:r>
      <w:bookmarkEnd w:id="1"/>
    </w:p>
    <w:p>
      <w:pPr>
        <w:spacing w:line="360" w:lineRule="auto"/>
      </w:pPr>
      <w:r>
        <w:t>Расчёт напряжённо-деформированного состояния и коэффициентов запаса циклической прочности колена вала двигателя 4ЧН8,2/9.</w:t>
      </w:r>
    </w:p>
    <w:p>
      <w:pPr>
        <w:pStyle w:val="2"/>
        <w:ind w:firstLine="0"/>
        <w:jc w:val="left"/>
      </w:pPr>
      <w:bookmarkStart w:id="2" w:name="_Toc71563156"/>
      <w:r>
        <w:t>2 Исходные данные</w:t>
      </w:r>
      <w:bookmarkEnd w:id="2"/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  <w:gridCol w:w="2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cs="Times New Roman"/>
                <w:sz w:val="28"/>
                <w:szCs w:val="28"/>
                <w:lang w:val="ru-RU"/>
              </w:rPr>
              <w:t>91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номинальная частота вращения, мин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4000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21,1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Эффективное давление,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10,76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hint="default" w:cs="Times New Roman"/>
                <w:sz w:val="28"/>
                <w:szCs w:val="28"/>
                <w:lang w:val="en-US"/>
              </w:rPr>
              <w:t>154,57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bookmarkStart w:id="10" w:name="_GoBack"/>
            <w:bookmarkEnd w:id="10"/>
            <w:r>
              <w:rPr>
                <w:rFonts w:ascii="Times New Roman" w:hAnsi="Times New Roman" w:cs="Times New Roman"/>
                <w:sz w:val="28"/>
                <w:szCs w:val="28"/>
              </w:rPr>
              <w:t>ХН3МА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0,0656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0,0574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5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=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,0205</w:t>
            </w:r>
          </w:p>
        </w:tc>
      </w:tr>
    </w:tbl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3" w:name="_Toc39522991"/>
      <w:bookmarkStart w:id="4" w:name="_Toc71563157"/>
      <w:r>
        <w:rPr>
          <w:rFonts w:cs="Times New Roman"/>
          <w:szCs w:val="28"/>
        </w:rPr>
        <w:t>3 Прочностной анализ коленчатого вала с помощью аналитического метода (Коэффициенты концентрации по Лейкину)</w:t>
      </w:r>
      <w:bookmarkEnd w:id="3"/>
      <w:bookmarkEnd w:id="4"/>
    </w:p>
    <w:p>
      <w:pPr>
        <w:spacing w:line="360" w:lineRule="auto"/>
      </w:pPr>
      <w:r>
        <w:t xml:space="preserve">Для прочностного расчёта коленчатого вала по разрезной схеме используется программа </w:t>
      </w:r>
      <w:r>
        <w:rPr>
          <w:lang w:val="en-US"/>
        </w:rPr>
        <w:t>KVAL</w:t>
      </w:r>
      <w:r>
        <w:t xml:space="preserve"> 4.3. Расчётная схема представлена на рисунке </w:t>
      </w:r>
      <w:r>
        <w:rPr>
          <w:lang w:val="en-US"/>
        </w:rPr>
        <w:t>1</w:t>
      </w:r>
      <w:r>
        <w:t>.</w:t>
      </w:r>
    </w:p>
    <w:p>
      <w:pPr>
        <w:spacing w:line="360" w:lineRule="auto"/>
        <w:ind w:firstLine="0"/>
        <w:jc w:val="center"/>
      </w:pPr>
      <w:r>
        <w:drawing>
          <wp:inline distT="0" distB="0" distL="0" distR="0">
            <wp:extent cx="2620010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t>Рисунок 1 – Разрезная расчётная схема коленчатого вала</w:t>
      </w:r>
    </w:p>
    <w:p>
      <w:pPr>
        <w:spacing w:line="360" w:lineRule="auto"/>
      </w:pPr>
      <w:r>
        <w:t>Далее задается геометрия колена вала, согласно эскизу (рис.3).</w:t>
      </w: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2619375" cy="4667250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 – Геометрия колена вала</w:t>
            </w:r>
          </w:p>
        </w:tc>
      </w:tr>
    </w:tbl>
    <w:p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drawing>
          <wp:inline distT="0" distB="0" distL="0" distR="0">
            <wp:extent cx="5657850" cy="30257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916" cy="30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Theme="majorEastAsia"/>
        </w:rPr>
      </w:pPr>
      <w:r>
        <w:rPr>
          <w:rFonts w:eastAsiaTheme="majorEastAsia"/>
        </w:rPr>
        <w:t>Рисунок 3– Эскиз колена вала</w:t>
      </w:r>
    </w:p>
    <w:p>
      <w:pPr>
        <w:spacing w:line="360" w:lineRule="auto"/>
        <w:jc w:val="center"/>
        <w:rPr>
          <w:rFonts w:eastAsiaTheme="majorEastAsia"/>
        </w:rPr>
      </w:pPr>
    </w:p>
    <w:p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>В качестве материала выбрана хромоникельмолибденовая сталь 38ХН3МА как наиболее подходящая по прочностным качествам для коленчатого вала быстроходного дизеля. Свойства данной стали представлены на рисунке 4.</w:t>
      </w: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 w:eastAsiaTheme="majorEastAsia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3698875" cy="349567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494" cy="350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eastAsiaTheme="majorEastAsia"/>
                <w:sz w:val="28"/>
                <w:szCs w:val="28"/>
              </w:rPr>
            </w:pPr>
            <w:r>
              <w:rPr>
                <w:rFonts w:ascii="Times New Roman" w:hAnsi="Times New Roman" w:eastAsiaTheme="majorEastAsia"/>
                <w:sz w:val="28"/>
                <w:szCs w:val="28"/>
              </w:rPr>
              <w:t xml:space="preserve">Рисунок 4 – Свойства стали </w:t>
            </w:r>
            <w:r>
              <w:rPr>
                <w:rFonts w:ascii="Times New Roman" w:hAnsi="Times New Roman" w:eastAsiaTheme="majorEastAsia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eastAsiaTheme="majorEastAsia"/>
                <w:sz w:val="28"/>
                <w:szCs w:val="28"/>
              </w:rPr>
              <w:t>8ХН3МА</w:t>
            </w:r>
          </w:p>
        </w:tc>
      </w:tr>
    </w:tbl>
    <w:p>
      <w:pPr>
        <w:spacing w:line="360" w:lineRule="auto"/>
      </w:pPr>
      <w:r>
        <w:t>Значения масс, снятых с твердотельной модели, представлена на (рис.5).</w:t>
      </w:r>
    </w:p>
    <w:p>
      <w:pPr>
        <w:spacing w:line="360" w:lineRule="auto"/>
        <w:ind w:firstLine="0"/>
      </w:pPr>
    </w:p>
    <w:tbl>
      <w:tblPr>
        <w:tblStyle w:val="12"/>
        <w:tblpPr w:leftFromText="180" w:rightFromText="180" w:vertAnchor="text" w:horzAnchor="margin" w:tblpY="13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3524250" cy="297243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559" cy="29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5 – Массы элементов расчетной схемы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  <w:r>
        <w:t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6 изображены все силы, действующие в кривошипно-шатунном механизме.</w:t>
      </w:r>
    </w:p>
    <w:p>
      <w:pPr>
        <w:spacing w:line="360" w:lineRule="auto"/>
        <w:jc w:val="center"/>
      </w:pPr>
      <w:r>
        <w:drawing>
          <wp:inline distT="0" distB="0" distL="0" distR="0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6 – Силовые факторы в КШМ</w:t>
      </w:r>
    </w:p>
    <w:p>
      <w:pPr>
        <w:spacing w:line="360" w:lineRule="auto"/>
      </w:pPr>
      <w:r>
        <w:t xml:space="preserve">На рисунке 7 представлена индикаторная диаграмма </w:t>
      </w:r>
      <w:r>
        <w:rPr>
          <w:lang w:val="en-US"/>
        </w:rPr>
        <w:t>P</w:t>
      </w:r>
      <w:r>
        <w:rPr>
          <w:vertAlign w:val="subscript"/>
        </w:rPr>
        <w:t>с</w:t>
      </w:r>
      <w:r>
        <w:t xml:space="preserve">, полученная в Дизель-РК. На рисунках 8 представлены зависимости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от угла поворота коленчатого вала.</w:t>
      </w:r>
    </w:p>
    <w:p>
      <w:pPr>
        <w:spacing w:line="360" w:lineRule="auto"/>
      </w:pP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667375" cy="217170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7 – Индикаторная диаграмма двигателя</w:t>
            </w:r>
          </w:p>
        </w:tc>
      </w:tr>
    </w:tbl>
    <w:p>
      <w:pPr>
        <w:spacing w:line="360" w:lineRule="auto"/>
        <w:ind w:firstLine="0"/>
        <w:jc w:val="center"/>
      </w:pPr>
      <w:r>
        <w:drawing>
          <wp:inline distT="0" distB="0" distL="0" distR="0">
            <wp:extent cx="6115685" cy="29686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8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коленчатого вала</w:t>
      </w:r>
    </w:p>
    <w:p>
      <w:pPr>
        <w:spacing w:line="360" w:lineRule="auto"/>
        <w:ind w:firstLine="0"/>
      </w:pPr>
    </w:p>
    <w:p>
      <w:pPr>
        <w:spacing w:line="360" w:lineRule="auto"/>
      </w:pPr>
      <w:r>
        <w:t>Значения коэффициентов концентрации рассчитаны по Лейкину(рис.8).</w:t>
      </w: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4908550"/>
                  <wp:effectExtent l="0" t="0" r="3175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8 – Коэффициенты концентрации напряжений</w:t>
            </w:r>
          </w:p>
        </w:tc>
      </w:tr>
    </w:tbl>
    <w:p>
      <w:pPr>
        <w:spacing w:line="360" w:lineRule="auto"/>
      </w:pPr>
      <w:r>
        <w:t>На рисунке 9 приведены результаты расчётов коэффициентов запаса для элементов колена вала.</w:t>
      </w:r>
    </w:p>
    <w:p>
      <w:pPr>
        <w:spacing w:line="360" w:lineRule="auto"/>
        <w:ind w:firstLine="0"/>
        <w:jc w:val="center"/>
        <w:rPr>
          <w:lang w:val="en-US"/>
        </w:rPr>
      </w:pPr>
      <w:r>
        <w:drawing>
          <wp:inline distT="0" distB="0" distL="0" distR="0">
            <wp:extent cx="5129530" cy="1692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556" cy="17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9 – Коэффициенты запаса элементов колена вала из расчёта </w:t>
      </w:r>
      <w:r>
        <w:rPr>
          <w:lang w:val="en-US"/>
        </w:rPr>
        <w:t>KVAL</w:t>
      </w:r>
      <w:r>
        <w:t xml:space="preserve"> </w:t>
      </w:r>
    </w:p>
    <w:p>
      <w:pPr>
        <w:spacing w:line="360" w:lineRule="auto"/>
      </w:pPr>
      <w:r>
        <w:t xml:space="preserve">Минимальное значение коэффициента запаса определено в галтелях шатунной шейки и равно 1,987. Минимальный коэффициент запаса принимается из диапазона 1,8 - 2, что меньше, чем полученный в результате расчета. </w:t>
      </w:r>
    </w:p>
    <w:p>
      <w:pPr>
        <w:spacing w:line="360" w:lineRule="auto"/>
      </w:pPr>
      <w:r>
        <w:t>Таким образом, при расчёте были получены удовлетворительные значения коэффициентов запаса элементов колена вала.</w:t>
      </w:r>
    </w:p>
    <w:p>
      <w:pPr>
        <w:pStyle w:val="2"/>
        <w:ind w:firstLine="0"/>
      </w:pPr>
      <w:bookmarkStart w:id="5" w:name="_Toc71563158"/>
      <w:bookmarkStart w:id="6" w:name="_Toc39522992"/>
      <w:r>
        <w:t>4 Прочностной расчёт коленчатого вала  с помощью МКЭ</w:t>
      </w:r>
      <w:bookmarkEnd w:id="5"/>
      <w:bookmarkEnd w:id="6"/>
    </w:p>
    <w:p>
      <w:pPr>
        <w:spacing w:line="360" w:lineRule="auto"/>
      </w:pPr>
      <w:r>
        <w:t>Альтернативой аналитического метода является конечно-элементный расчёт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10 представлена сборочная твердотельная модель.</w:t>
      </w:r>
    </w:p>
    <w:p>
      <w:pPr>
        <w:spacing w:line="360" w:lineRule="auto"/>
        <w:jc w:val="center"/>
      </w:pPr>
      <w:r>
        <w:drawing>
          <wp:inline distT="0" distB="0" distL="0" distR="0">
            <wp:extent cx="41338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</w:pPr>
      <w:r>
        <w:t>Рисунок 10 – Твердотельная модель для расчёта коленчатого вала по разрезной схеме</w:t>
      </w:r>
    </w:p>
    <w:p>
      <w:pPr>
        <w:spacing w:line="360" w:lineRule="auto"/>
      </w:pPr>
      <w:r>
        <w:t xml:space="preserve">Конечно - элементный расчёт произведён в программном комплексе </w:t>
      </w:r>
      <w:r>
        <w:rPr>
          <w:lang w:val="en-US"/>
        </w:rPr>
        <w:t>Ansys</w:t>
      </w:r>
      <w:r>
        <w:t xml:space="preserve"> 19.2. Перед началом расчета производится генерация сетки и присвоение материалов элементам сборки. </w:t>
      </w:r>
    </w:p>
    <w:p>
      <w:pPr>
        <w:pStyle w:val="9"/>
        <w:spacing w:line="360" w:lineRule="auto"/>
        <w:ind w:right="614" w:firstLine="709"/>
        <w:jc w:val="both"/>
      </w:pPr>
      <w:r>
        <w:t>Между контактирующими деталями задаётся контакт по следующим параметрам: Тип – Frictional, коэффициент трения задаётся равный 0,15 (сталь по стали), Interface Treatment – Adjust to touch.</w:t>
      </w:r>
    </w:p>
    <w:p>
      <w:pPr>
        <w:spacing w:line="360" w:lineRule="auto"/>
      </w:pPr>
      <w:r>
        <w:t>На рисунке 11 представлена конечно-элементная модель сборки. На рисунке 12 показано измельчение сетки в зонах галтелей и маслоподводящих отверстий.</w:t>
      </w:r>
    </w:p>
    <w:p>
      <w:pPr>
        <w:spacing w:line="360" w:lineRule="auto"/>
        <w:jc w:val="center"/>
      </w:pPr>
      <w:r>
        <w:drawing>
          <wp:inline distT="0" distB="0" distL="0" distR="0">
            <wp:extent cx="3800475" cy="454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11 – Конечно-элементная модель сборки</w:t>
      </w:r>
    </w:p>
    <w:p>
      <w:pPr>
        <w:spacing w:line="360" w:lineRule="auto"/>
        <w:jc w:val="center"/>
      </w:pPr>
      <w:r>
        <w:drawing>
          <wp:inline distT="0" distB="0" distL="0" distR="0">
            <wp:extent cx="3733800" cy="3802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2945" cy="38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12 – Конечно-элементная модель колена вала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На рисунках 13 и 14 представлены расчётные схемы, используемые для расчёта по МКЭ. Максимальное и минимальное нагружения КВ: максимум силы </w:t>
      </w:r>
      <w:r>
        <w:rPr>
          <w:lang w:val="en-US"/>
        </w:rPr>
        <w:t>Z</w:t>
      </w:r>
      <w:r>
        <w:t xml:space="preserve"> при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φ=369° и минимум при φ=513°.</w:t>
      </w:r>
    </w:p>
    <w:p>
      <w:pPr>
        <w:spacing w:line="360" w:lineRule="auto"/>
      </w:pPr>
      <w:r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>
        <w:rPr>
          <w:lang w:val="en-US"/>
        </w:rPr>
        <w:t>K</w:t>
      </w:r>
      <w:r>
        <w:t>: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84,35 кН, при φ = 369°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11,05 кН, при φ = 513°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 разрезу шатуна прикладываем давление соответствующие для каждого из режимов.</w:t>
      </w:r>
    </w:p>
    <w:p>
      <w:pPr>
        <w:spacing w:line="360" w:lineRule="auto"/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0"/>
        <w:jc w:val="center"/>
      </w:pPr>
      <w:r>
        <w:drawing>
          <wp:inline distT="0" distB="0" distL="0" distR="0">
            <wp:extent cx="5791200" cy="37655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2788" cy="37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13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rPr>
          <w:vertAlign w:val="subscript"/>
        </w:rPr>
        <w:softHyphen/>
      </w:r>
    </w:p>
    <w:p>
      <w:pPr>
        <w:spacing w:line="360" w:lineRule="auto"/>
        <w:ind w:firstLine="0"/>
      </w:pPr>
    </w:p>
    <w:p>
      <w:pPr>
        <w:spacing w:line="360" w:lineRule="auto"/>
        <w:jc w:val="center"/>
      </w:pPr>
    </w:p>
    <w:p>
      <w:pPr>
        <w:spacing w:line="360" w:lineRule="auto"/>
        <w:ind w:firstLine="0"/>
        <w:jc w:val="center"/>
      </w:pPr>
      <w:r>
        <w:drawing>
          <wp:inline distT="0" distB="0" distL="0" distR="0">
            <wp:extent cx="5940425" cy="3726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vertAlign w:val="subscript"/>
        </w:rPr>
      </w:pPr>
      <w:r>
        <w:t xml:space="preserve">Рисунок 14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rPr>
          <w:vertAlign w:val="subscript"/>
        </w:rPr>
      </w:pPr>
      <w:r>
        <w:t>Далее к модели коленчатого вала прикладывается угловая скорость (3890 мин</w:t>
      </w:r>
      <w:r>
        <w:rPr>
          <w:vertAlign w:val="superscript"/>
        </w:rPr>
        <w:t>-1</w:t>
      </w:r>
      <w:r>
        <w:t xml:space="preserve">), фиксируем опоры по 3 поверхностям. Фиксируем шатун от проворота с помощью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Displacement</w:t>
      </w:r>
      <w:r>
        <w:t xml:space="preserve">. Последним условием является приложение давлений эквивалентным силам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t xml:space="preserve"> 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r>
        <w:rPr>
          <w:vertAlign w:val="subscript"/>
        </w:rPr>
        <w:softHyphen/>
      </w:r>
      <w:r>
        <w:t>, которые задают режим нагружения.</w:t>
      </w:r>
    </w:p>
    <w:p>
      <w:pPr>
        <w:spacing w:line="360" w:lineRule="auto"/>
      </w:pPr>
      <w:r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>
      <w:pPr>
        <w:spacing w:line="360" w:lineRule="auto"/>
      </w:pPr>
      <w:r>
        <w:t>Амплитудные значения напряжений:</w:t>
      </w:r>
    </w:p>
    <w:p>
      <w:pPr>
        <w:spacing w:line="360" w:lineRule="auto"/>
        <w:jc w:val="center"/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ia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ija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</w:pPr>
      <w:r>
        <w:t>Среднее значение напряжений:</w:t>
      </w:r>
    </w:p>
    <w:p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im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ijm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0" distR="0">
            <wp:extent cx="4175760" cy="3077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06" cy="30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15 – Площадь сечения для определения эквивалентного диаметра</w:t>
      </w:r>
    </w:p>
    <w:p>
      <w:pPr>
        <w:spacing w:line="360" w:lineRule="auto"/>
        <w:ind w:firstLine="709"/>
      </w:pPr>
      <w:r>
        <w:t>Характеристики стали 38ХН3МА:</w:t>
      </w:r>
    </w:p>
    <w:p>
      <w:pPr>
        <w:spacing w:line="360" w:lineRule="auto"/>
        <w:ind w:firstLine="709"/>
      </w:pPr>
      <w:r>
        <w:t xml:space="preserve"> </w:t>
      </w: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</w:rPr>
        <w:t>В</w:t>
      </w:r>
      <w:r>
        <w:rPr>
          <w:shd w:val="clear" w:color="auto" w:fill="FFFFFF"/>
        </w:rPr>
        <w:t xml:space="preserve"> = 1080 МПа, σ</w:t>
      </w:r>
      <w:r>
        <w:rPr>
          <w:shd w:val="clear" w:color="auto" w:fill="FFFFFF"/>
          <w:vertAlign w:val="subscript"/>
        </w:rPr>
        <w:t xml:space="preserve">-1 </w:t>
      </w:r>
      <w:r>
        <w:rPr>
          <w:shd w:val="clear" w:color="auto" w:fill="FFFFFF"/>
        </w:rPr>
        <w:t xml:space="preserve">= 430 Мпа, </w:t>
      </w:r>
      <w:r>
        <w:rPr>
          <w:shd w:val="clear" w:color="auto" w:fill="FFFFFF"/>
          <w:lang w:val="en-US"/>
        </w:rPr>
        <w:t>τ</w:t>
      </w:r>
      <w:r>
        <w:rPr>
          <w:shd w:val="clear" w:color="auto" w:fill="FFFFFF"/>
          <w:vertAlign w:val="subscript"/>
        </w:rPr>
        <w:t>-1</w:t>
      </w:r>
      <w:r>
        <w:rPr>
          <w:shd w:val="clear" w:color="auto" w:fill="FFFFFF"/>
        </w:rPr>
        <w:t xml:space="preserve"> = 290 МПа.</w:t>
      </w:r>
    </w:p>
    <w:p>
      <w:pPr>
        <w:spacing w:line="360" w:lineRule="auto"/>
        <w:ind w:firstLine="709"/>
        <w:rPr>
          <w:shd w:val="clear" w:color="auto" w:fill="FFFFFF"/>
        </w:rPr>
      </w:pPr>
      <w:r>
        <w:t>Коэффициент, учитывающий качество обработки поверхности:</w:t>
      </w:r>
    </w:p>
    <w:p>
      <w:pPr>
        <w:spacing w:line="360" w:lineRule="auto"/>
        <w:ind w:firstLine="709"/>
        <w:jc w:val="center"/>
      </w:pPr>
      <w:r>
        <w:t>β = 1 – 0,22</w:t>
      </w:r>
      <w:r>
        <w:rPr>
          <w:i/>
          <w:lang w:val="en-US"/>
        </w:rPr>
        <w:t>lg</w:t>
      </w:r>
      <w:r>
        <w:t>(</w:t>
      </w:r>
      <w:r>
        <w:rPr>
          <w:lang w:val="en-US"/>
        </w:rPr>
        <w:t>R</w:t>
      </w:r>
      <w:r>
        <w:rPr>
          <w:vertAlign w:val="subscript"/>
          <w:lang w:val="en-US"/>
        </w:rPr>
        <w:t>z</w:t>
      </w:r>
      <w:r>
        <w:t>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1 – 0,22</w:t>
      </w:r>
      <w:r>
        <w:rPr>
          <w:i/>
          <w:lang w:val="en-US"/>
        </w:rPr>
        <w:t>lg</w:t>
      </w:r>
      <w:r>
        <w:t>(20)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ascii="Cambria Math" w:hAnsi="Cambria Math"/>
              </w:rPr>
              <m:t>1080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0,79</w:t>
      </w:r>
    </w:p>
    <w:p>
      <w:pPr>
        <w:spacing w:line="360" w:lineRule="auto"/>
        <w:ind w:firstLine="709"/>
      </w:pPr>
      <w:r>
        <w:t>Коэффициент упрочнения назначается β</w:t>
      </w:r>
      <w:r>
        <w:rPr>
          <w:vertAlign w:val="subscript"/>
        </w:rPr>
        <w:t>упр</w:t>
      </w:r>
      <w:r>
        <w:t xml:space="preserve"> = 2,05;</w:t>
      </w:r>
    </w:p>
    <w:p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σ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∙σ</w:t>
      </w:r>
      <w:r>
        <w:rPr>
          <w:i/>
          <w:vertAlign w:val="subscript"/>
        </w:rPr>
        <w:t>В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∙1080=0,236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τ</w:t>
      </w:r>
      <w:r>
        <w:rPr>
          <w:i/>
        </w:rPr>
        <w:t xml:space="preserve"> = 1,5</w:t>
      </w:r>
      <w:r>
        <w:t>∙</w:t>
      </w:r>
      <w:r>
        <w:rPr>
          <w:i/>
        </w:rPr>
        <w:t xml:space="preserve"> ν</w:t>
      </w:r>
      <w:r>
        <w:rPr>
          <w:i/>
          <w:vertAlign w:val="subscript"/>
        </w:rPr>
        <w:t>σ</w:t>
      </w:r>
      <w:r>
        <w:rPr>
          <w:i/>
        </w:rPr>
        <w:t xml:space="preserve"> = 1,5*0,236 = 0,354</w:t>
      </w:r>
    </w:p>
    <w:p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экв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4F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П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 w:hAnsi="Cambria Math"/>
            </w:rPr>
            <m:t>=33,21 мм</m:t>
          </m:r>
        </m:oMath>
      </m:oMathPara>
    </w:p>
    <w:p>
      <w:pPr>
        <w:spacing w:line="360" w:lineRule="auto"/>
        <w:ind w:firstLine="709"/>
      </w:pPr>
      <w:r>
        <w:t>Масштабный фактор:</w:t>
      </w:r>
    </w:p>
    <w:p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−2∗0,236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=0,748</m:t>
          </m:r>
        </m:oMath>
      </m:oMathPara>
    </w:p>
    <w:p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−2∗0,354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=0,674</m:t>
          </m:r>
        </m:oMath>
      </m:oMathPara>
    </w:p>
    <w:p>
      <w:pPr>
        <w:spacing w:line="360" w:lineRule="auto"/>
        <w:ind w:firstLine="709"/>
      </w:pPr>
      <w:r>
        <w:t>Коэффициенты концентрации напряжений: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0.826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m:rPr/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∙2</m:t>
            </m:r>
            <m:r>
              <m:rPr/>
              <w:rPr>
                <w:rFonts w:ascii="Cambria Math" w:hAnsi="Cambria Math"/>
              </w:rPr>
              <m:t>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0.916</w:t>
      </w:r>
    </w:p>
    <w:p>
      <w:pPr>
        <w:spacing w:line="360" w:lineRule="auto"/>
        <w:ind w:firstLine="709"/>
      </w:pPr>
      <w:r>
        <w:t>Коэффициенты влияния асимметрии цикла:</w:t>
      </w:r>
    </w:p>
    <w:p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=0.02+2∗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=0.02+2</m:t>
          </m:r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∗1080=0.236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∗1080=0.118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</w:p>
    <w:p>
      <w:pPr>
        <w:spacing w:line="360" w:lineRule="auto"/>
        <w:ind w:firstLine="709"/>
      </w:pPr>
      <w:r>
        <w:t>Расчёт коэффициента запаса ведётся по рекомендуемой формуле:</w:t>
      </w:r>
    </w:p>
    <w:p>
      <w:pPr>
        <w:spacing w:line="360" w:lineRule="auto"/>
        <w:ind w:firstLine="709"/>
        <w:jc w:val="center"/>
        <w:rPr>
          <w:rFonts w:eastAsiaTheme="minorEastAsia"/>
        </w:rPr>
      </w:pPr>
      <w:r>
        <w:rPr>
          <w:i/>
          <w:lang w:val="en-US"/>
        </w:rPr>
        <w:t>n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экв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rPr>
          <w:rFonts w:eastAsiaTheme="minorEastAsia"/>
        </w:rPr>
        <w:t xml:space="preserve">, </w:t>
      </w:r>
    </w:p>
    <w:p>
      <w:pPr>
        <w:spacing w:line="360" w:lineRule="auto"/>
        <w:ind w:firstLine="709"/>
        <w:jc w:val="center"/>
      </w:pP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где </w:t>
      </w:r>
      <w:r>
        <w:rPr>
          <w:i/>
          <w:shd w:val="clear" w:color="auto" w:fill="FFFFFF"/>
        </w:rPr>
        <w:t>σ</w:t>
      </w:r>
      <w:r>
        <w:rPr>
          <w:i/>
          <w:shd w:val="clear" w:color="auto" w:fill="FFFFFF"/>
          <w:vertAlign w:val="subscript"/>
        </w:rPr>
        <w:t>экв</w:t>
      </w:r>
      <w:r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eg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2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rad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>
            <m:ctrlPr>
              <w:rPr>
                <w:rFonts w:ascii="Cambria Math" w:hAnsi="Cambria Math"/>
                <w:i/>
                <w:shd w:val="clear" w:color="auto" w:fill="FFFFFF"/>
              </w:rPr>
            </m:ctrlPr>
          </m:deg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6∗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eqArr>
            <m:ctrlPr>
              <w:rPr>
                <w:rFonts w:ascii="Cambria Math" w:hAnsi="Cambria Math"/>
                <w:i/>
                <w:shd w:val="clear" w:color="auto" w:fill="FFFFFF"/>
              </w:rPr>
            </m:ctrlPr>
          </m:e>
        </m:rad>
        <m:r>
          <m:rPr/>
          <w:rPr>
            <w:rFonts w:ascii="Cambria Math" w:hAnsi="Cambria Math"/>
            <w:shd w:val="clear" w:color="auto" w:fill="FFFFFF"/>
          </w:rPr>
          <m:t xml:space="preserve"> </m:t>
        </m:r>
      </m:oMath>
      <w:r>
        <w:rPr>
          <w:rFonts w:eastAsiaTheme="minorEastAsia"/>
          <w:shd w:val="clear" w:color="auto" w:fill="FFFFFF"/>
        </w:rPr>
        <w:t xml:space="preserve">– эквивалентное напряжение по формуле Ван-Мизеса; </w:t>
      </w:r>
    </w:p>
    <w:p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нормальных компонентов тензора напряжений;</w:t>
      </w: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касательных компонентов тензора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Тензоры напряжений для узла с наименьшим коэффициентом запаса:</w:t>
      </w:r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max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227,2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143,87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249,41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m</m:t>
                    </m:r>
                    <m:r>
                      <m:rPr/>
                      <w:rPr>
                        <w:rFonts w:ascii="Cambria Math" w:hAnsi="Cambria Math"/>
                        <w:lang w:val="en-US"/>
                      </w:rPr>
                      <m:t>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20,758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14,388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26,911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</w:pPr>
    </w:p>
    <w:p>
      <w:pPr>
        <w:spacing w:line="360" w:lineRule="auto"/>
      </w:pPr>
      <w:r>
        <w:t xml:space="preserve">На рисунках 16 и 17 представлены распределения напряжений Ван-Мизеса по колену вала исследуемого двигателя для расчётных режимов работы. Компоненты тензоров напряжений для расчетных режимов представлены в Приложениях Б и В.  На рисунке 18 представлена найденная точка с минимальным запасом циклической прочности: </w:t>
      </w:r>
      <w:r>
        <w:rPr>
          <w:lang w:val="en-US"/>
        </w:rPr>
        <w:t>n</w:t>
      </w:r>
      <w:r>
        <w:rPr>
          <w:vertAlign w:val="subscript"/>
          <w:lang w:val="en-US"/>
        </w:rPr>
        <w:t>min</w:t>
      </w:r>
      <w:r>
        <w:t xml:space="preserve"> =2,139. Точка находится на галтели шатунной шейки вала. В итоге, расчёт показал, что коленчатый вал удовлетворяет условиям прочности.</w:t>
      </w: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0" distR="0">
            <wp:extent cx="5250180" cy="3463925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172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16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0" distR="0">
            <wp:extent cx="5940425" cy="3679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17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0" distR="0">
            <wp:extent cx="5828030" cy="33420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159" cy="3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15 – Распределение коэффициента запаса по модели колена вала </w:t>
      </w:r>
    </w:p>
    <w:p>
      <w:pPr>
        <w:spacing w:after="160" w:line="360" w:lineRule="auto"/>
        <w:ind w:firstLine="0"/>
        <w:jc w:val="left"/>
      </w:pPr>
    </w:p>
    <w:p>
      <w:pPr>
        <w:pStyle w:val="2"/>
        <w:spacing w:line="360" w:lineRule="auto"/>
        <w:jc w:val="center"/>
        <w:rPr>
          <w:rFonts w:cs="Times New Roman"/>
          <w:szCs w:val="28"/>
        </w:rPr>
      </w:pPr>
      <w:bookmarkStart w:id="7" w:name="_Toc39522994"/>
      <w:bookmarkStart w:id="8" w:name="_Toc71563159"/>
      <w:r>
        <w:rPr>
          <w:rFonts w:cs="Times New Roman"/>
          <w:szCs w:val="28"/>
        </w:rPr>
        <w:t>ЗАКЛЮЧЕНИЕ</w:t>
      </w:r>
      <w:bookmarkEnd w:id="7"/>
      <w:bookmarkEnd w:id="8"/>
    </w:p>
    <w:p>
      <w:pPr>
        <w:spacing w:line="360" w:lineRule="auto"/>
        <w:ind w:firstLine="709"/>
      </w:pPr>
      <w:r>
        <w:t xml:space="preserve">Различие между коэффициентами запаса по усталостной прочности, полученными при аналитическом расчёте в программе </w:t>
      </w:r>
      <w:r>
        <w:rPr>
          <w:lang w:val="en-US"/>
        </w:rPr>
        <w:t>KVAL</w:t>
      </w:r>
      <w:r>
        <w:t xml:space="preserve"> и методом конечных элементов в программном комплексе </w:t>
      </w:r>
      <w:r>
        <w:rPr>
          <w:lang w:val="en-US"/>
        </w:rPr>
        <w:t>Ansys</w:t>
      </w:r>
      <w:r>
        <w:t xml:space="preserve"> 19.2, составляет:</w:t>
      </w:r>
    </w:p>
    <w:p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m:rPr/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2,139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1.987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7</w:t>
      </w:r>
      <w:r>
        <w:rPr>
          <w:lang w:val="en-US"/>
        </w:rPr>
        <w:t>,7</w:t>
      </w:r>
      <w:r>
        <w:t xml:space="preserve"> %</w:t>
      </w:r>
    </w:p>
    <w:p>
      <w:pPr>
        <w:spacing w:line="360" w:lineRule="auto"/>
        <w:rPr>
          <w:shd w:val="clear" w:color="auto" w:fill="FFFFFF"/>
        </w:rPr>
      </w:pPr>
      <w:r>
        <w:t xml:space="preserve">Данное несоответствие связано с тем, что в программе </w:t>
      </w:r>
      <w:r>
        <w:rPr>
          <w:lang w:val="en-US"/>
        </w:rPr>
        <w:t>KVAL</w:t>
      </w:r>
      <w:r>
        <w:t xml:space="preserve"> для определения запасов прочности при многоцикловом нагружении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коэффициента концентратора напряжений К</w:t>
      </w:r>
      <w:r>
        <w:rPr>
          <w:rFonts w:cs="Times New Roman"/>
          <w:shd w:val="clear" w:color="auto" w:fill="FFFFFF"/>
          <w:vertAlign w:val="subscript"/>
        </w:rPr>
        <w:t>σ</w:t>
      </w:r>
      <w:r>
        <w:rPr>
          <w:shd w:val="clear" w:color="auto" w:fill="FFFFFF"/>
        </w:rPr>
        <w:t xml:space="preserve"> и К</w:t>
      </w:r>
      <w:r>
        <w:rPr>
          <w:rFonts w:cs="Times New Roman"/>
          <w:shd w:val="clear" w:color="auto" w:fill="FFFFFF"/>
          <w:vertAlign w:val="subscript"/>
        </w:rPr>
        <w:t>τ</w:t>
      </w:r>
      <w:r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средние σ</w:t>
      </w:r>
      <w:r>
        <w:rPr>
          <w:shd w:val="clear" w:color="auto" w:fill="FFFFFF"/>
          <w:vertAlign w:val="subscript"/>
          <w:lang w:val="en-US"/>
        </w:rPr>
        <w:t>m</w:t>
      </w:r>
      <w:r>
        <w:rPr>
          <w:shd w:val="clear" w:color="auto" w:fill="FFFFFF"/>
          <w:vertAlign w:val="subscript"/>
        </w:rPr>
        <w:t xml:space="preserve">КЭ </w:t>
      </w:r>
      <w:r>
        <w:rPr>
          <w:shd w:val="clear" w:color="auto" w:fill="FFFFFF"/>
        </w:rPr>
        <w:t>и амплитуды σ</w:t>
      </w:r>
      <w:r>
        <w:rPr>
          <w:shd w:val="clear" w:color="auto" w:fill="FFFFFF"/>
          <w:vertAlign w:val="subscript"/>
          <w:lang w:val="en-US"/>
        </w:rPr>
        <w:t>a</w:t>
      </w:r>
      <w:r>
        <w:rPr>
          <w:shd w:val="clear" w:color="auto" w:fill="FFFFFF"/>
          <w:vertAlign w:val="subscript"/>
        </w:rPr>
        <w:t>КЭ</w:t>
      </w:r>
      <w:r>
        <w:rPr>
          <w:shd w:val="clear" w:color="auto" w:fill="FFFFFF"/>
        </w:rPr>
        <w:t>, в том числе и в зонах концентрации. Значения этих напряжений условно должны соответствовать значениям номинальных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Очевидно, что использование </w:t>
      </w:r>
      <w:r>
        <w:rPr>
          <w:shd w:val="clear" w:color="auto" w:fill="FFFFFF"/>
          <w:lang w:val="en-US"/>
        </w:rPr>
        <w:t>KVAL</w:t>
      </w:r>
      <w:r>
        <w:rPr>
          <w:shd w:val="clear" w:color="auto" w:fill="FFFFFF"/>
        </w:rPr>
        <w:t xml:space="preserve"> для прочностного расчёта колена вала обеспечивает быстродействие и достаточно точный результат. 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Программный комплекс </w:t>
      </w:r>
      <w:r>
        <w:rPr>
          <w:shd w:val="clear" w:color="auto" w:fill="FFFFFF"/>
          <w:lang w:val="en-US"/>
        </w:rPr>
        <w:t>Ansys</w:t>
      </w:r>
      <w:r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>
      <w:pPr>
        <w:ind w:left="851"/>
      </w:pPr>
    </w:p>
    <w:p>
      <w:r>
        <w:br w:type="page"/>
      </w:r>
    </w:p>
    <w:p>
      <w:pPr>
        <w:pStyle w:val="2"/>
        <w:jc w:val="center"/>
      </w:pPr>
      <w:bookmarkStart w:id="9" w:name="_Toc71563160"/>
      <w:r>
        <w:t>Список литературы</w:t>
      </w:r>
      <w:bookmarkEnd w:id="9"/>
    </w:p>
    <w:p>
      <w:pPr>
        <w:ind w:left="851"/>
      </w:pPr>
    </w:p>
    <w:p>
      <w:pPr>
        <w:pStyle w:val="15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Чайнов; Н.А. Иващенко; А.Н. Краснокутский; Л.Л. Мягков; под ред. Н.Д. Чайнова. Машиностроение, 2008. 496с.,ил.</w:t>
      </w:r>
    </w:p>
    <w:p>
      <w:pPr>
        <w:pStyle w:val="15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Оценка выносливости базовых деталей поршневых двигателей: учебное пособие / А.Н. Краснокутский, Л.Л. Мягков, Н.Д Чайнов. М.: Машиностроение, 1989. – 256 с.: ил.</w:t>
      </w: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firstLine="0"/>
      </w:pPr>
    </w:p>
    <w:p>
      <w:pPr>
        <w:ind w:left="851"/>
        <w:jc w:val="right"/>
      </w:pPr>
      <w:r>
        <w:t>Приложение А.</w:t>
      </w:r>
    </w:p>
    <w:p>
      <w:pPr>
        <w:ind w:firstLine="0"/>
        <w:jc w:val="center"/>
      </w:pPr>
      <w:r>
        <w:t>Программа расчета коэффициента запаса по тензорам напряжений</w:t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0" distR="0">
            <wp:extent cx="5323205" cy="7456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left"/>
      </w:pPr>
      <w:r>
        <w:drawing>
          <wp:inline distT="0" distB="0" distL="0" distR="0">
            <wp:extent cx="5066665" cy="67710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18765" cy="194246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  <w:r>
        <w:drawing>
          <wp:inline distT="0" distB="0" distL="0" distR="0">
            <wp:extent cx="3428365" cy="38950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drawing>
          <wp:inline distT="0" distB="0" distL="0" distR="0">
            <wp:extent cx="3485515" cy="34664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  <w:r>
        <w:drawing>
          <wp:inline distT="0" distB="0" distL="0" distR="0">
            <wp:extent cx="3561715" cy="2704465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drawing>
          <wp:inline distT="0" distB="0" distL="0" distR="0">
            <wp:extent cx="1961515" cy="114236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drawing>
          <wp:inline distT="0" distB="0" distL="0" distR="0">
            <wp:extent cx="4780915" cy="25425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right"/>
      </w:pPr>
      <w:r>
        <w:t>Приложение Б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ind w:firstLine="0"/>
        <w:jc w:val="center"/>
      </w:pP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69824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Б.1 -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787390" cy="3696970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702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Б.2 -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736590" cy="369697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823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Б.3 -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855085"/>
                  <wp:effectExtent l="0" t="0" r="317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Б.4 -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820795"/>
                  <wp:effectExtent l="0" t="0" r="317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Б.5 -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769995"/>
                  <wp:effectExtent l="0" t="0" r="3175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Б.6 -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>
      <w:pPr>
        <w:ind w:firstLine="0"/>
        <w:jc w:val="center"/>
      </w:pPr>
    </w:p>
    <w:p>
      <w:pPr>
        <w:ind w:firstLine="0"/>
        <w:jc w:val="right"/>
      </w:pPr>
      <w:r>
        <w:t>Приложение В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ind w:firstLine="0"/>
        <w:jc w:val="center"/>
      </w:pP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451860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В.1 -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384550"/>
                  <wp:effectExtent l="0" t="0" r="3175" b="635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Б.2 -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58140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В.3 -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592830"/>
                  <wp:effectExtent l="0" t="0" r="317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В.4 -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510280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В.5 -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drawing>
                <wp:inline distT="0" distB="0" distL="0" distR="0">
                  <wp:extent cx="5940425" cy="3568700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7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В.6 -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>
      <w:pPr>
        <w:ind w:firstLine="0"/>
        <w:jc w:val="center"/>
      </w:pPr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37065388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C723FF"/>
    <w:multiLevelType w:val="multilevel"/>
    <w:tmpl w:val="45C723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7816BBD"/>
    <w:multiLevelType w:val="multilevel"/>
    <w:tmpl w:val="77816BBD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EDC"/>
    <w:rsid w:val="000032AB"/>
    <w:rsid w:val="000069B6"/>
    <w:rsid w:val="00013F54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30593"/>
    <w:rsid w:val="00532BEC"/>
    <w:rsid w:val="00542425"/>
    <w:rsid w:val="0054591C"/>
    <w:rsid w:val="00566DED"/>
    <w:rsid w:val="00573657"/>
    <w:rsid w:val="00577C11"/>
    <w:rsid w:val="005803B2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E62F0"/>
    <w:rsid w:val="007F4B38"/>
    <w:rsid w:val="007F5078"/>
    <w:rsid w:val="007F79E6"/>
    <w:rsid w:val="00806C05"/>
    <w:rsid w:val="00825CB1"/>
    <w:rsid w:val="00853AD7"/>
    <w:rsid w:val="00856509"/>
    <w:rsid w:val="008612FF"/>
    <w:rsid w:val="00872ED0"/>
    <w:rsid w:val="008958B3"/>
    <w:rsid w:val="008A0FFD"/>
    <w:rsid w:val="008A296B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3B7B"/>
    <w:rsid w:val="00FE5934"/>
    <w:rsid w:val="00FE7853"/>
    <w:rsid w:val="00FF2DB4"/>
    <w:rsid w:val="4419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76" w:lineRule="auto"/>
      <w:ind w:firstLine="851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ndnote reference"/>
    <w:basedOn w:val="3"/>
    <w:semiHidden/>
    <w:unhideWhenUsed/>
    <w:uiPriority w:val="99"/>
    <w:rPr>
      <w:vertAlign w:val="superscript"/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endnote text"/>
    <w:basedOn w:val="1"/>
    <w:link w:val="2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8">
    <w:name w:val="header"/>
    <w:basedOn w:val="1"/>
    <w:link w:val="18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Body Text"/>
    <w:basedOn w:val="1"/>
    <w:link w:val="16"/>
    <w:qFormat/>
    <w:uiPriority w:val="1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0">
    <w:name w:val="toc 1"/>
    <w:basedOn w:val="1"/>
    <w:next w:val="1"/>
    <w:unhideWhenUsed/>
    <w:uiPriority w:val="39"/>
    <w:pPr>
      <w:tabs>
        <w:tab w:val="right" w:leader="dot" w:pos="9345"/>
      </w:tabs>
      <w:spacing w:after="100"/>
      <w:ind w:left="851" w:firstLine="0"/>
    </w:pPr>
  </w:style>
  <w:style w:type="paragraph" w:styleId="11">
    <w:name w:val="footer"/>
    <w:basedOn w:val="1"/>
    <w:link w:val="19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table" w:styleId="12">
    <w:name w:val="Table Grid"/>
    <w:basedOn w:val="4"/>
    <w:uiPriority w:val="39"/>
    <w:pPr>
      <w:spacing w:line="240" w:lineRule="auto"/>
      <w:jc w:val="left"/>
    </w:pPr>
    <w:rPr>
      <w:rFonts w:asciiTheme="minorHAnsi" w:hAnsiTheme="minorHAnsi"/>
      <w:sz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Заголовок 1 Знак"/>
    <w:basedOn w:val="3"/>
    <w:link w:val="2"/>
    <w:uiPriority w:val="9"/>
    <w:rPr>
      <w:rFonts w:eastAsiaTheme="majorEastAsia" w:cstheme="majorBidi"/>
      <w:b/>
      <w:color w:val="auto"/>
      <w:szCs w:val="32"/>
      <w:lang w:eastAsia="ru-RU"/>
    </w:rPr>
  </w:style>
  <w:style w:type="paragraph" w:styleId="14">
    <w:name w:val="No Spacing"/>
    <w:qFormat/>
    <w:uiPriority w:val="1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40" w:lineRule="auto"/>
      <w:ind w:firstLine="0"/>
      <w:jc w:val="left"/>
    </w:pPr>
    <w:rPr>
      <w:rFonts w:ascii="Times New Roman" w:hAnsi="Times New Roman" w:eastAsia="Times New Roman" w:cstheme="minorBidi"/>
      <w:sz w:val="24"/>
      <w:szCs w:val="20"/>
      <w:lang w:val="ru-RU" w:eastAsia="ru-RU" w:bidi="ar-SA"/>
    </w:rPr>
  </w:style>
  <w:style w:type="paragraph" w:styleId="15">
    <w:name w:val="List Paragraph"/>
    <w:basedOn w:val="1"/>
    <w:qFormat/>
    <w:uiPriority w:val="34"/>
    <w:pPr>
      <w:ind w:left="720"/>
      <w:contextualSpacing/>
    </w:pPr>
    <w:rPr>
      <w:szCs w:val="24"/>
    </w:rPr>
  </w:style>
  <w:style w:type="character" w:customStyle="1" w:styleId="16">
    <w:name w:val="Основной текст Знак"/>
    <w:basedOn w:val="3"/>
    <w:link w:val="9"/>
    <w:uiPriority w:val="1"/>
    <w:rPr>
      <w:rFonts w:eastAsia="Times New Roman"/>
      <w:color w:val="auto"/>
      <w:lang w:eastAsia="ru-RU" w:bidi="ru-RU"/>
    </w:rPr>
  </w:style>
  <w:style w:type="character" w:styleId="17">
    <w:name w:val="Placeholder Text"/>
    <w:basedOn w:val="3"/>
    <w:semiHidden/>
    <w:uiPriority w:val="99"/>
    <w:rPr>
      <w:color w:val="808080"/>
    </w:rPr>
  </w:style>
  <w:style w:type="character" w:customStyle="1" w:styleId="18">
    <w:name w:val="Верхний колонтитул Знак"/>
    <w:basedOn w:val="3"/>
    <w:link w:val="8"/>
    <w:uiPriority w:val="99"/>
  </w:style>
  <w:style w:type="character" w:customStyle="1" w:styleId="19">
    <w:name w:val="Нижний колонтитул Знак"/>
    <w:basedOn w:val="3"/>
    <w:link w:val="11"/>
    <w:uiPriority w:val="99"/>
  </w:style>
  <w:style w:type="paragraph" w:customStyle="1" w:styleId="20">
    <w:name w:val="TOC Heading"/>
    <w:basedOn w:val="2"/>
    <w:next w:val="1"/>
    <w:unhideWhenUsed/>
    <w:qFormat/>
    <w:uiPriority w:val="3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ru-RU"/>
    </w:rPr>
  </w:style>
  <w:style w:type="character" w:customStyle="1" w:styleId="21">
    <w:name w:val="Текст концевой сноски Знак"/>
    <w:basedOn w:val="3"/>
    <w:link w:val="7"/>
    <w:semiHidden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B65573-485F-4D4F-8D17-BB69180375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1741</Words>
  <Characters>9929</Characters>
  <Lines>82</Lines>
  <Paragraphs>23</Paragraphs>
  <TotalTime>1175</TotalTime>
  <ScaleCrop>false</ScaleCrop>
  <LinksUpToDate>false</LinksUpToDate>
  <CharactersWithSpaces>11647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2021-04-15T04:39:00Z</dcterms:created>
  <dc:creator>Дима Дима</dc:creator>
  <cp:lastModifiedBy>gachi</cp:lastModifiedBy>
  <dcterms:modified xsi:type="dcterms:W3CDTF">2021-05-17T22:49:00Z</dcterms:modified>
  <cp:revision>286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