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firstLine="0"/>
        <w:jc w:val="center"/>
      </w:pPr>
      <w:r>
        <w:rPr>
          <w:sz w:val="40"/>
        </w:rPr>
        <w:t>Are Employees Satisfied With Their Compensation?</w:t>
        <w:br/>
        <w:t>A Mixed-Methods Research Proposal for Measuring Pay Satisfaction and Perceived Fairness Among Early-Career Technology Professionals</w:t>
      </w:r>
    </w:p>
    <w:p>
      <w:pPr>
        <w:spacing w:after="0"/>
        <w:ind w:firstLine="0"/>
        <w:jc w:val="center"/>
      </w:pPr>
      <w:r>
        <w:rPr>
          <w:b w:val="0"/>
          <w:i w:val="0"/>
          <w:sz w:val="22"/>
        </w:rPr>
        <w:t>Md. Rakib Hossain</w:t>
      </w:r>
    </w:p>
    <w:p>
      <w:pPr>
        <w:spacing w:after="0"/>
        <w:ind w:firstLine="0"/>
        <w:jc w:val="center"/>
      </w:pPr>
      <w:r>
        <w:rPr>
          <w:b w:val="0"/>
          <w:i/>
          <w:sz w:val="20"/>
        </w:rPr>
        <w:t>Department of Computer Science and Engineering</w:t>
      </w:r>
    </w:p>
    <w:p>
      <w:pPr>
        <w:spacing w:after="0"/>
        <w:ind w:firstLine="0"/>
        <w:jc w:val="center"/>
      </w:pPr>
      <w:r>
        <w:rPr>
          <w:b w:val="0"/>
          <w:i/>
          <w:sz w:val="20"/>
        </w:rPr>
        <w:t>American International University–Bangladesh, Dhaka, Bangladesh</w:t>
      </w:r>
    </w:p>
    <w:p>
      <w:pPr>
        <w:spacing w:after="280"/>
        <w:ind w:firstLine="0"/>
        <w:jc w:val="center"/>
      </w:pPr>
      <w:r>
        <w:rPr>
          <w:b w:val="0"/>
          <w:i/>
          <w:sz w:val="20"/>
        </w:rPr>
        <w:t>000.mdrakibhossain@gmail.com</w:t>
      </w:r>
    </w:p>
    <w:p>
      <w:pPr>
        <w:sectPr>
          <w:pgSz w:w="12240" w:h="15840"/>
          <w:pgMar w:top="1080" w:right="900" w:bottom="1440" w:left="900" w:header="720" w:footer="720" w:gutter="0"/>
          <w:cols w:space="288" w:num="1" w:equalWidth="1"/>
          <w:docGrid w:linePitch="360"/>
        </w:sectPr>
      </w:pPr>
    </w:p>
    <w:p>
      <w:pPr>
        <w:spacing w:after="60"/>
        <w:ind w:firstLine="0"/>
        <w:jc w:val="both"/>
      </w:pPr>
      <w:r>
        <w:rPr>
          <w:b/>
          <w:i/>
          <w:sz w:val="18"/>
        </w:rPr>
        <w:t xml:space="preserve">Abstract—Purpose: </w:t>
      </w:r>
      <w:r>
        <w:rPr>
          <w:b/>
          <w:i/>
          <w:sz w:val="18"/>
        </w:rPr>
        <w:t>This proposal sets out a study to measure how satisfied early-career technology professionals are with their compensation, and to identify which factors shape that judgement.</w:t>
      </w:r>
    </w:p>
    <w:p>
      <w:pPr>
        <w:spacing w:after="60"/>
        <w:ind w:firstLine="0"/>
        <w:jc w:val="both"/>
      </w:pPr>
      <w:r>
        <w:rPr>
          <w:b/>
          <w:i/>
          <w:sz w:val="18"/>
        </w:rPr>
        <w:t xml:space="preserve">Research question: </w:t>
      </w:r>
      <w:r>
        <w:rPr>
          <w:b/>
          <w:i/>
          <w:sz w:val="18"/>
        </w:rPr>
        <w:t>To what extent are early-career technology professionals satisfied with their current compensation, and what attributes explain variation in that satisfaction?</w:t>
      </w:r>
    </w:p>
    <w:p>
      <w:pPr>
        <w:spacing w:after="60"/>
        <w:ind w:firstLine="0"/>
        <w:jc w:val="both"/>
      </w:pPr>
      <w:r>
        <w:rPr>
          <w:b/>
          <w:i/>
          <w:sz w:val="18"/>
        </w:rPr>
        <w:t xml:space="preserve">Hypothesis: </w:t>
      </w:r>
      <w:r>
        <w:rPr>
          <w:b/>
          <w:i/>
          <w:sz w:val="18"/>
        </w:rPr>
        <w:t>H1 — pay satisfaction is driven less by absolute salary than by perceived fairness relative to role, responsibility, and market rate; H0 — pay satisfaction varies only with absolute salary level.</w:t>
      </w:r>
    </w:p>
    <w:p>
      <w:pPr>
        <w:spacing w:after="60"/>
        <w:ind w:firstLine="0"/>
        <w:jc w:val="both"/>
      </w:pPr>
      <w:r>
        <w:rPr>
          <w:b/>
          <w:i/>
          <w:sz w:val="18"/>
        </w:rPr>
        <w:t xml:space="preserve">Methodology: </w:t>
      </w:r>
      <w:r>
        <w:rPr>
          <w:b/>
          <w:i/>
          <w:sz w:val="18"/>
        </w:rPr>
        <w:t>A cross-sectional mixed-methods design combines a structured questionnaire with semi-structured follow-up interviews. Quantitative responses are summarised descriptively and triangulated against coded qualitative accounts.</w:t>
      </w:r>
    </w:p>
    <w:p>
      <w:pPr>
        <w:spacing w:after="60"/>
        <w:ind w:firstLine="0"/>
        <w:jc w:val="both"/>
      </w:pPr>
      <w:r>
        <w:rPr>
          <w:b/>
          <w:i/>
          <w:sz w:val="18"/>
        </w:rPr>
        <w:t xml:space="preserve">Research participants: </w:t>
      </w:r>
      <w:r>
        <w:rPr>
          <w:b/>
          <w:i/>
          <w:sz w:val="18"/>
        </w:rPr>
        <w:t>Approximately 120 salaried technology professionals aged 21–30 with up to five years of professional experience, recruited from software, data, and design roles in Dhaka.</w:t>
      </w:r>
    </w:p>
    <w:p>
      <w:pPr>
        <w:spacing w:after="60"/>
        <w:ind w:firstLine="0"/>
        <w:jc w:val="both"/>
      </w:pPr>
      <w:r>
        <w:rPr>
          <w:b/>
          <w:i/>
          <w:sz w:val="18"/>
        </w:rPr>
        <w:t xml:space="preserve">Research tools: </w:t>
      </w:r>
      <w:r>
        <w:rPr>
          <w:b/>
          <w:i/>
          <w:sz w:val="18"/>
        </w:rPr>
        <w:t>A fifteen-item questionnaire adapted from the Pay Satisfaction Questionnaire, a semi-structured interview guide, and a structured literature review.</w:t>
      </w:r>
    </w:p>
    <w:p>
      <w:pPr>
        <w:spacing w:after="60"/>
        <w:ind w:firstLine="0"/>
        <w:jc w:val="both"/>
      </w:pPr>
      <w:r>
        <w:rPr>
          <w:b/>
          <w:i/>
          <w:sz w:val="18"/>
        </w:rPr>
        <w:t xml:space="preserve">Probable result: </w:t>
      </w:r>
      <w:r>
        <w:rPr>
          <w:b/>
          <w:i/>
          <w:sz w:val="18"/>
        </w:rPr>
        <w:t>A pilot of thirteen respondents returned a mean satisfaction of 3.38 on a five-point scale, with only 38.5% rating four or above and the modal response at neutral. The full study is therefore expected to find predominantly neutral rather than positive compensation satisfaction, with dissatisfaction concentrated in perceptions of fairness rather than in salary magnitude.</w:t>
      </w:r>
    </w:p>
    <w:p>
      <w:pPr>
        <w:spacing w:after="60"/>
        <w:ind w:firstLine="0"/>
        <w:jc w:val="both"/>
      </w:pPr>
      <w:r>
        <w:rPr>
          <w:b/>
          <w:i/>
          <w:sz w:val="18"/>
        </w:rPr>
        <w:t xml:space="preserve">Conclusion and recommendation: </w:t>
      </w:r>
      <w:r>
        <w:rPr>
          <w:b/>
          <w:i/>
          <w:sz w:val="18"/>
        </w:rPr>
        <w:t>If confirmed, the finding implies that employers cannot resolve compensation dissatisfaction through pay increases alone; transparent pay structures and explicit role-to-pay mapping are likely to matter more. The instrument and analysis plan described here are offered as a replicable basis for that assessment.</w:t>
      </w:r>
    </w:p>
    <w:p>
      <w:pPr>
        <w:spacing w:before="120" w:after="160"/>
        <w:ind w:firstLine="0"/>
      </w:pPr>
      <w:r>
        <w:rPr>
          <w:b/>
          <w:i/>
          <w:sz w:val="18"/>
        </w:rPr>
        <w:t>Keywords—</w:t>
      </w:r>
      <w:r>
        <w:rPr>
          <w:b/>
          <w:i/>
          <w:sz w:val="18"/>
        </w:rPr>
        <w:t>compensation satisfaction, pay satisfaction, perceived fairness, equity theory, employee retention, mixed-methods research</w:t>
      </w:r>
    </w:p>
    <w:p>
      <w:pPr>
        <w:pStyle w:val="Heading1"/>
      </w:pPr>
      <w:r>
        <w:t>I. Introduction</w:t>
      </w:r>
    </w:p>
    <w:p>
      <w:pPr>
        <w:jc w:val="both"/>
      </w:pPr>
      <w:r>
        <w:rPr>
          <w:b w:val="0"/>
          <w:i w:val="0"/>
        </w:rPr>
        <w:t>Compensation is the most direct exchange between an employer and an employee, yet satisfaction with it is not a simple function of amount. Two people paid identically may evaluate their pay very differently depending on what they believe they contribute, what they believe others receive, and what they believe the market rate to be. This gap between the objective figure and the subjective judgement is what makes compensation satisfaction worth measuring separately from compensation itself.</w:t>
      </w:r>
    </w:p>
    <w:p>
      <w:pPr>
        <w:jc w:val="both"/>
      </w:pPr>
      <w:r>
        <w:rPr>
          <w:b w:val="0"/>
          <w:i w:val="0"/>
        </w:rPr>
        <w:t>The distinction matters practically. Organisations that treat dissatisfaction as a pricing problem respond with across-the-board increases, which are expensive and, if the underlying grievance concerns fairness rather than magnitude, ineffective. A study that separates the two allows a more targeted response.</w:t>
      </w:r>
    </w:p>
    <w:p>
      <w:pPr>
        <w:jc w:val="both"/>
      </w:pPr>
      <w:r>
        <w:rPr>
          <w:b w:val="0"/>
          <w:i w:val="0"/>
        </w:rPr>
        <w:t>This proposal describes a study designed to make that separation. It states the research question and hypotheses, specifies the population and sampling frame, details the three instruments, and reports pilot data that motivate the design. The pilot is small and its limitations are stated plainly; it is presented as evidence that the instrument functions and that the phenomenon is worth studying at scale, not as a finding in its own right.</w:t>
      </w:r>
    </w:p>
    <w:p>
      <w:pPr>
        <w:pStyle w:val="Heading1"/>
      </w:pPr>
      <w:r>
        <w:t>II. Literature Review</w:t>
      </w:r>
    </w:p>
    <w:p>
      <w:pPr>
        <w:jc w:val="both"/>
      </w:pPr>
      <w:r>
        <w:rPr>
          <w:b w:val="0"/>
          <w:i w:val="0"/>
        </w:rPr>
        <w:t>Research on pay satisfaction has consistently treated it as a judgement of relative rather than absolute standing. Adams's equity theory frames the employee as comparing a ratio of personal inputs to outcomes against the corresponding ratio of a referent other; inequity in either direction produces tension and a motivation to restore balance [1]. On this account, an employee paid well in absolute terms may still report dissatisfaction if the comparison is unfavourable.</w:t>
      </w:r>
    </w:p>
    <w:p>
      <w:pPr>
        <w:jc w:val="both"/>
      </w:pPr>
      <w:r>
        <w:rPr>
          <w:b w:val="0"/>
          <w:i w:val="0"/>
        </w:rPr>
        <w:t>Herzberg's two-factor theory positions salary as a hygiene factor: its absence produces dissatisfaction, but its presence does not proportionally produce satisfaction [2]. The practical implication is asymmetric — underpayment reliably harms, while overpayment does not reliably help.</w:t>
      </w:r>
    </w:p>
    <w:p>
      <w:pPr>
        <w:jc w:val="both"/>
      </w:pPr>
      <w:r>
        <w:rPr>
          <w:b w:val="0"/>
          <w:i w:val="0"/>
        </w:rPr>
        <w:t>The measurement literature refined the construct further. Heneman and Schwab demonstrated that pay satisfaction is multidimensional rather than unitary, and developed the Pay Satisfaction Questionnaire to separate satisfaction with pay level, benefits, raises, and pay structure and administration [3]. Treating pay satisfaction as a single score, as much survey practice still does, therefore risks collapsing distinct judgements that may move independently.</w:t>
      </w:r>
    </w:p>
    <w:p>
      <w:pPr>
        <w:jc w:val="both"/>
      </w:pPr>
      <w:r>
        <w:rPr>
          <w:b w:val="0"/>
          <w:i w:val="0"/>
        </w:rPr>
        <w:t>The largest synthesis of this work is the meta-analysis by Williams, McDaniel, and Nguyen, covering 240 samples drawn from 203 studies. It reports that pay level satisfaction correlates with a broad set of antecedents and outcomes, and that its relationship with actual pay, while positive, is far from deterministic [4]. This supports the design decision taken here to collect perceptual measures alongside reported salary rather than to infer satisfaction from salary.</w:t>
      </w:r>
    </w:p>
    <w:p>
      <w:pPr>
        <w:jc w:val="both"/>
      </w:pPr>
      <w:r>
        <w:rPr>
          <w:b w:val="0"/>
          <w:i w:val="0"/>
        </w:rPr>
        <w:t>More recent work situates these mechanisms in the technology sector specifically. Murugan and Philimis find that compensation, recognition, and work environment jointly determine retention among information technology employees, with compensation acting alongside rather than independently of the other two [5]. Their finding motivates the inclusion of qualitative interviews in the present design, since a purely numerical instrument cannot capture recognition effects.</w:t>
      </w:r>
    </w:p>
    <w:p>
      <w:pPr>
        <w:jc w:val="both"/>
      </w:pPr>
      <w:r>
        <w:rPr>
          <w:b w:val="0"/>
          <w:i w:val="0"/>
        </w:rPr>
        <w:t>Two gaps follow from this review. First, the pay satisfaction literature is dominated by samples from large Western organisations, leaving early-career professionals in South Asian technology firms under-represented. Second, few studies pair a quantitative satisfaction measure with open qualitative accounts from the same respondents, which is what would be needed to distinguish a magnitude complaint from a fairness complaint. This study addresses both.</w:t>
      </w:r>
    </w:p>
    <w:p>
      <w:pPr>
        <w:pStyle w:val="Heading1"/>
      </w:pPr>
      <w:r>
        <w:t>III. Research Methodology</w:t>
      </w:r>
    </w:p>
    <w:p>
      <w:pPr>
        <w:pStyle w:val="Heading2"/>
      </w:pPr>
      <w:r>
        <w:t>A. Scope and Area</w:t>
      </w:r>
    </w:p>
    <w:p>
      <w:pPr>
        <w:jc w:val="both"/>
      </w:pPr>
      <w:r>
        <w:rPr>
          <w:b w:val="0"/>
          <w:i w:val="0"/>
        </w:rPr>
        <w:t>The study falls within human resource management, specifically the measurement of compensation satisfaction and perceived pay fairness. It is empirical and cross-sectional. It does not evaluate compensation policy, model salary determination, or track satisfaction over time; each would require a different design.</w:t>
      </w:r>
    </w:p>
    <w:p>
      <w:pPr>
        <w:pStyle w:val="Heading2"/>
      </w:pPr>
      <w:r>
        <w:t>B. Class and Social Specification</w:t>
      </w:r>
    </w:p>
    <w:p>
      <w:pPr>
        <w:jc w:val="both"/>
      </w:pPr>
      <w:r>
        <w:rPr>
          <w:b w:val="0"/>
          <w:i w:val="0"/>
        </w:rPr>
        <w:t>The target population is salaried early-career technology professionals employed in Dhaka, Bangladesh. Socially, this group is urban, university-educated, and employed in the formal private sector. It is economically heterogeneous despite its educational homogeneity: entry salaries in the sector span roughly BDT 15,000 to BDT 120,000 per month, which is wide enough for equity comparisons to arise within a single peer group. That internal spread is precisely what makes the population suitable for testing a relative-comparison hypothesis.</w:t>
      </w:r>
    </w:p>
    <w:p>
      <w:pPr>
        <w:pStyle w:val="Heading2"/>
      </w:pPr>
      <w:r>
        <w:t>C. Research Participants</w:t>
      </w:r>
    </w:p>
    <w:p>
      <w:pPr>
        <w:jc w:val="both"/>
      </w:pPr>
      <w:r>
        <w:rPr>
          <w:b w:val="0"/>
          <w:i w:val="0"/>
        </w:rPr>
        <w:t>The full study targets approximately 120 participants, a sample size chosen to support subgroup comparison across role and experience band while remaining feasible for a single researcher. Participants must be aged 21–30, hold a completed undergraduate degree, and be in paid employment with no more than five years of professional experience.</w:t>
      </w:r>
    </w:p>
    <w:p>
      <w:pPr>
        <w:jc w:val="both"/>
      </w:pPr>
      <w:r>
        <w:rPr>
          <w:b w:val="0"/>
          <w:i w:val="0"/>
        </w:rPr>
        <w:t>The pilot reported here recruited 13 participants. Their characteristics are given in Table 1. All held technology or technology-adjacent roles — software engineering, data analysis, and graphic design — and all reported an academic background in computer science or a closely related field.</w:t>
      </w:r>
    </w:p>
    <w:p>
      <w:pPr>
        <w:spacing w:before="160" w:after="40"/>
        <w:ind w:firstLine="0"/>
        <w:jc w:val="center"/>
      </w:pPr>
      <w:r>
        <w:rPr>
          <w:smallCaps/>
          <w:sz w:val="16"/>
        </w:rPr>
        <w:t>Table 1. Pilot participant characteristics (n = 13)</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ind w:firstLine="0"/>
            </w:pPr>
            <w:r/>
            <w:r>
              <w:rPr>
                <w:rFonts w:ascii="Times New Roman" w:hAnsi="Times New Roman"/>
                <w:b/>
                <w:sz w:val="16"/>
              </w:rPr>
              <w:t>Attribute</w:t>
            </w:r>
          </w:p>
        </w:tc>
        <w:tc>
          <w:tcPr>
            <w:tcW w:type="dxa" w:w="5220"/>
          </w:tcPr>
          <w:p>
            <w:pPr>
              <w:ind w:firstLine="0"/>
            </w:pPr>
            <w:r/>
            <w:r>
              <w:rPr>
                <w:rFonts w:ascii="Times New Roman" w:hAnsi="Times New Roman"/>
                <w:b/>
                <w:sz w:val="16"/>
              </w:rPr>
              <w:t>Value</w:t>
            </w:r>
          </w:p>
        </w:tc>
      </w:tr>
      <w:tr>
        <w:tc>
          <w:tcPr>
            <w:tcW w:type="dxa" w:w="5220"/>
          </w:tcPr>
          <w:p>
            <w:pPr>
              <w:ind w:firstLine="0"/>
            </w:pPr>
            <w:r/>
            <w:r>
              <w:rPr>
                <w:rFonts w:ascii="Times New Roman" w:hAnsi="Times New Roman"/>
                <w:sz w:val="16"/>
              </w:rPr>
              <w:t>Age range</w:t>
            </w:r>
          </w:p>
        </w:tc>
        <w:tc>
          <w:tcPr>
            <w:tcW w:type="dxa" w:w="5220"/>
          </w:tcPr>
          <w:p>
            <w:pPr>
              <w:ind w:firstLine="0"/>
            </w:pPr>
            <w:r/>
            <w:r>
              <w:rPr>
                <w:rFonts w:ascii="Times New Roman" w:hAnsi="Times New Roman"/>
                <w:sz w:val="16"/>
              </w:rPr>
              <w:t>21–26 years</w:t>
            </w:r>
          </w:p>
        </w:tc>
      </w:tr>
      <w:tr>
        <w:tc>
          <w:tcPr>
            <w:tcW w:type="dxa" w:w="5220"/>
          </w:tcPr>
          <w:p>
            <w:pPr>
              <w:ind w:firstLine="0"/>
            </w:pPr>
            <w:r/>
            <w:r>
              <w:rPr>
                <w:rFonts w:ascii="Times New Roman" w:hAnsi="Times New Roman"/>
                <w:sz w:val="16"/>
              </w:rPr>
              <w:t>Mean age</w:t>
            </w:r>
          </w:p>
        </w:tc>
        <w:tc>
          <w:tcPr>
            <w:tcW w:type="dxa" w:w="5220"/>
          </w:tcPr>
          <w:p>
            <w:pPr>
              <w:ind w:firstLine="0"/>
            </w:pPr>
            <w:r/>
            <w:r>
              <w:rPr>
                <w:rFonts w:ascii="Times New Roman" w:hAnsi="Times New Roman"/>
                <w:sz w:val="16"/>
              </w:rPr>
              <w:t>23.5 years</w:t>
            </w:r>
          </w:p>
        </w:tc>
      </w:tr>
      <w:tr>
        <w:tc>
          <w:tcPr>
            <w:tcW w:type="dxa" w:w="5220"/>
          </w:tcPr>
          <w:p>
            <w:pPr>
              <w:ind w:firstLine="0"/>
            </w:pPr>
            <w:r/>
            <w:r>
              <w:rPr>
                <w:rFonts w:ascii="Times New Roman" w:hAnsi="Times New Roman"/>
                <w:sz w:val="16"/>
              </w:rPr>
              <w:t>Professional experience</w:t>
            </w:r>
          </w:p>
        </w:tc>
        <w:tc>
          <w:tcPr>
            <w:tcW w:type="dxa" w:w="5220"/>
          </w:tcPr>
          <w:p>
            <w:pPr>
              <w:ind w:firstLine="0"/>
            </w:pPr>
            <w:r/>
            <w:r>
              <w:rPr>
                <w:rFonts w:ascii="Times New Roman" w:hAnsi="Times New Roman"/>
                <w:sz w:val="16"/>
              </w:rPr>
              <w:t>1–5 years (mean 3.0)</w:t>
            </w:r>
          </w:p>
        </w:tc>
      </w:tr>
      <w:tr>
        <w:tc>
          <w:tcPr>
            <w:tcW w:type="dxa" w:w="5220"/>
          </w:tcPr>
          <w:p>
            <w:pPr>
              <w:ind w:firstLine="0"/>
            </w:pPr>
            <w:r/>
            <w:r>
              <w:rPr>
                <w:rFonts w:ascii="Times New Roman" w:hAnsi="Times New Roman"/>
                <w:sz w:val="16"/>
              </w:rPr>
              <w:t>Highest qualification</w:t>
            </w:r>
          </w:p>
        </w:tc>
        <w:tc>
          <w:tcPr>
            <w:tcW w:type="dxa" w:w="5220"/>
          </w:tcPr>
          <w:p>
            <w:pPr>
              <w:ind w:firstLine="0"/>
            </w:pPr>
            <w:r/>
            <w:r>
              <w:rPr>
                <w:rFonts w:ascii="Times New Roman" w:hAnsi="Times New Roman"/>
                <w:sz w:val="16"/>
              </w:rPr>
              <w:t>BSc 10, MSc 2, other 1</w:t>
            </w:r>
          </w:p>
        </w:tc>
      </w:tr>
      <w:tr>
        <w:tc>
          <w:tcPr>
            <w:tcW w:type="dxa" w:w="5220"/>
          </w:tcPr>
          <w:p>
            <w:pPr>
              <w:ind w:firstLine="0"/>
            </w:pPr>
            <w:r/>
            <w:r>
              <w:rPr>
                <w:rFonts w:ascii="Times New Roman" w:hAnsi="Times New Roman"/>
                <w:sz w:val="16"/>
              </w:rPr>
              <w:t>Role: Software Engineer</w:t>
            </w:r>
          </w:p>
        </w:tc>
        <w:tc>
          <w:tcPr>
            <w:tcW w:type="dxa" w:w="5220"/>
          </w:tcPr>
          <w:p>
            <w:pPr>
              <w:ind w:firstLine="0"/>
            </w:pPr>
            <w:r/>
            <w:r>
              <w:rPr>
                <w:rFonts w:ascii="Times New Roman" w:hAnsi="Times New Roman"/>
                <w:sz w:val="16"/>
              </w:rPr>
              <w:t>6</w:t>
            </w:r>
          </w:p>
        </w:tc>
      </w:tr>
      <w:tr>
        <w:tc>
          <w:tcPr>
            <w:tcW w:type="dxa" w:w="5220"/>
          </w:tcPr>
          <w:p>
            <w:pPr>
              <w:ind w:firstLine="0"/>
            </w:pPr>
            <w:r/>
            <w:r>
              <w:rPr>
                <w:rFonts w:ascii="Times New Roman" w:hAnsi="Times New Roman"/>
                <w:sz w:val="16"/>
              </w:rPr>
              <w:t>Role: Data Analyst</w:t>
            </w:r>
          </w:p>
        </w:tc>
        <w:tc>
          <w:tcPr>
            <w:tcW w:type="dxa" w:w="5220"/>
          </w:tcPr>
          <w:p>
            <w:pPr>
              <w:ind w:firstLine="0"/>
            </w:pPr>
            <w:r/>
            <w:r>
              <w:rPr>
                <w:rFonts w:ascii="Times New Roman" w:hAnsi="Times New Roman"/>
                <w:sz w:val="16"/>
              </w:rPr>
              <w:t>4</w:t>
            </w:r>
          </w:p>
        </w:tc>
      </w:tr>
      <w:tr>
        <w:tc>
          <w:tcPr>
            <w:tcW w:type="dxa" w:w="5220"/>
          </w:tcPr>
          <w:p>
            <w:pPr>
              <w:ind w:firstLine="0"/>
            </w:pPr>
            <w:r/>
            <w:r>
              <w:rPr>
                <w:rFonts w:ascii="Times New Roman" w:hAnsi="Times New Roman"/>
                <w:sz w:val="16"/>
              </w:rPr>
              <w:t>Role: Graphic Designer</w:t>
            </w:r>
          </w:p>
        </w:tc>
        <w:tc>
          <w:tcPr>
            <w:tcW w:type="dxa" w:w="5220"/>
          </w:tcPr>
          <w:p>
            <w:pPr>
              <w:ind w:firstLine="0"/>
            </w:pPr>
            <w:r/>
            <w:r>
              <w:rPr>
                <w:rFonts w:ascii="Times New Roman" w:hAnsi="Times New Roman"/>
                <w:sz w:val="16"/>
              </w:rPr>
              <w:t>1</w:t>
            </w:r>
          </w:p>
        </w:tc>
      </w:tr>
      <w:tr>
        <w:tc>
          <w:tcPr>
            <w:tcW w:type="dxa" w:w="5220"/>
          </w:tcPr>
          <w:p>
            <w:pPr>
              <w:ind w:firstLine="0"/>
            </w:pPr>
            <w:r/>
            <w:r>
              <w:rPr>
                <w:rFonts w:ascii="Times New Roman" w:hAnsi="Times New Roman"/>
                <w:sz w:val="16"/>
              </w:rPr>
              <w:t>Role: Other (self-specified)</w:t>
            </w:r>
          </w:p>
        </w:tc>
        <w:tc>
          <w:tcPr>
            <w:tcW w:type="dxa" w:w="5220"/>
          </w:tcPr>
          <w:p>
            <w:pPr>
              <w:ind w:firstLine="0"/>
            </w:pPr>
            <w:r/>
            <w:r>
              <w:rPr>
                <w:rFonts w:ascii="Times New Roman" w:hAnsi="Times New Roman"/>
                <w:sz w:val="16"/>
              </w:rPr>
              <w:t>2</w:t>
            </w:r>
          </w:p>
        </w:tc>
      </w:tr>
      <w:tr>
        <w:tc>
          <w:tcPr>
            <w:tcW w:type="dxa" w:w="5220"/>
          </w:tcPr>
          <w:p>
            <w:pPr>
              <w:ind w:firstLine="0"/>
            </w:pPr>
            <w:r/>
            <w:r>
              <w:rPr>
                <w:rFonts w:ascii="Times New Roman" w:hAnsi="Times New Roman"/>
                <w:sz w:val="16"/>
              </w:rPr>
              <w:t>Reported monthly salary</w:t>
            </w:r>
          </w:p>
        </w:tc>
        <w:tc>
          <w:tcPr>
            <w:tcW w:type="dxa" w:w="5220"/>
          </w:tcPr>
          <w:p>
            <w:pPr>
              <w:ind w:firstLine="0"/>
            </w:pPr>
            <w:r/>
            <w:r>
              <w:rPr>
                <w:rFonts w:ascii="Times New Roman" w:hAnsi="Times New Roman"/>
                <w:sz w:val="16"/>
              </w:rPr>
              <w:t>BDT 15,000–120,000</w:t>
            </w:r>
          </w:p>
        </w:tc>
      </w:tr>
    </w:tbl>
    <w:p>
      <w:pPr>
        <w:spacing w:after="160"/>
        <w:ind w:firstLine="0"/>
      </w:pPr>
    </w:p>
    <w:p>
      <w:pPr>
        <w:pStyle w:val="Heading2"/>
      </w:pPr>
      <w:r>
        <w:t>D. Research Tools</w:t>
      </w:r>
    </w:p>
    <w:p>
      <w:pPr>
        <w:jc w:val="both"/>
      </w:pPr>
      <w:r>
        <w:rPr>
          <w:b w:val="0"/>
          <w:i w:val="0"/>
        </w:rPr>
        <w:t>Three instruments are used, each addressing a different limitation of the others.</w:t>
      </w:r>
    </w:p>
    <w:p>
      <w:pPr>
        <w:jc w:val="both"/>
      </w:pPr>
      <w:r>
        <w:rPr>
          <w:b w:val="0"/>
          <w:i w:val="0"/>
        </w:rPr>
        <w:t>Questionnaire. A fifteen-item structured questionnaire collects demographic attributes, professional attributes (experience, qualifications, publications, projects led, training completed), reported monthly salary, and a five-point compensation satisfaction rating. The satisfaction item and its framing are adapted from the Pay Satisfaction Questionnaire [3]. The instrument is self-administered and distributed electronically.</w:t>
      </w:r>
    </w:p>
    <w:p>
      <w:pPr>
        <w:jc w:val="both"/>
      </w:pPr>
      <w:r>
        <w:rPr>
          <w:b w:val="0"/>
          <w:i w:val="0"/>
        </w:rPr>
        <w:t>Semi-structured interview. A subset of respondents is invited to a follow-up interview built around one open prompt — what would make your compensation feel more fair — with probes for role comparison, market awareness, and recognition. The interview exists to recover the reasoning behind a numerical rating, which the questionnaire cannot capture. In the pilot this prompt was administered in written form, and its yield is discussed in Section V.</w:t>
      </w:r>
    </w:p>
    <w:p>
      <w:pPr>
        <w:jc w:val="both"/>
      </w:pPr>
      <w:r>
        <w:rPr>
          <w:b w:val="0"/>
          <w:i w:val="0"/>
        </w:rPr>
        <w:t>Literature review. A structured review establishes the theoretical frame, supplies the validated constructs the questionnaire adapts, and provides the comparison base against which the study's findings are interpreted.</w:t>
      </w:r>
    </w:p>
    <w:p>
      <w:pPr>
        <w:pStyle w:val="Heading2"/>
      </w:pPr>
      <w:r>
        <w:t>E. Data Analysis</w:t>
      </w:r>
    </w:p>
    <w:p>
      <w:pPr>
        <w:jc w:val="both"/>
      </w:pPr>
      <w:r>
        <w:rPr>
          <w:b w:val="0"/>
          <w:i w:val="0"/>
        </w:rPr>
        <w:t>Quantitative responses are analysed descriptively: frequency distribution, mean, median, and mode of the satisfaction rating, reported overall and disaggregated by role and experience band. Given the intended sample size, inferential testing is planned only for the full study, and only where subgroup counts permit.</w:t>
      </w:r>
    </w:p>
    <w:p>
      <w:pPr>
        <w:jc w:val="both"/>
      </w:pPr>
      <w:r>
        <w:rPr>
          <w:b w:val="0"/>
          <w:i w:val="0"/>
        </w:rPr>
        <w:t>Qualitative responses are analysed by thematic coding. Open-text answers are coded inductively, codes are grouped into themes, and theme frequency is compared against satisfaction ratings from the same respondents. The comparison is the mechanism by which the hypothesis is tested: if dissatisfaction is a magnitude problem, low ratings should co-occur with requests for a specific increase; if it is a fairness problem, low ratings should co-occur with comparison language.</w:t>
      </w:r>
    </w:p>
    <w:p>
      <w:pPr>
        <w:pStyle w:val="Heading2"/>
      </w:pPr>
      <w:r>
        <w:t>F. Ethical Considerations</w:t>
      </w:r>
    </w:p>
    <w:p>
      <w:pPr>
        <w:jc w:val="both"/>
      </w:pPr>
      <w:r>
        <w:rPr>
          <w:b w:val="0"/>
          <w:i w:val="0"/>
        </w:rPr>
        <w:t>Participation is voluntary and informed. No names, employer identifiers, or contact details are collected. Salary data is stored separately from any identifying attribute, and reported only in aggregate or in bands. Respondents may withdraw at any point before analysis. Submission timestamps were removed from the pilot dataset before archiving, since they were quasi-identifying within a small cohort and served no analytical purpose.</w:t>
      </w:r>
    </w:p>
    <w:p>
      <w:pPr>
        <w:pStyle w:val="Heading1"/>
      </w:pPr>
      <w:r>
        <w:t>IV. Exploratory Data Analysis of the Pilot</w:t>
      </w:r>
    </w:p>
    <w:p>
      <w:pPr>
        <w:jc w:val="both"/>
      </w:pPr>
      <w:r>
        <w:rPr>
          <w:b w:val="0"/>
          <w:i w:val="0"/>
        </w:rPr>
        <w:t>Before the pilot responses are used to anticipate anything, they are profiled for structure, completeness, and internal plausibility. The exercise is reported here rather than confined to an appendix because one of its findings changes how the pilot may be read.</w:t>
      </w:r>
    </w:p>
    <w:p>
      <w:pPr>
        <w:pStyle w:val="Heading2"/>
      </w:pPr>
      <w:r>
        <w:t>A. Completeness</w:t>
      </w:r>
    </w:p>
    <w:p>
      <w:pPr>
        <w:jc w:val="both"/>
      </w:pPr>
      <w:r>
        <w:rPr>
          <w:b w:val="0"/>
          <w:i w:val="0"/>
        </w:rPr>
        <w:t>Figure 1 summarises missingness across the fields used in analysis. Three patterns emerge. The conditional other job title field is empty for 69.2% of responses, which is expected — only respondents who select “Other” complete it — and is reported for completeness rather than flagged as a defect. Salary is missing for 15.4%: two respondents entered a literal zero, values treated as non-responses rather than as earnings of zero. Experience and projects led are each missing one value.</w:t>
      </w:r>
    </w:p>
    <w:p>
      <w:pPr>
        <w:spacing w:before="120"/>
        <w:ind w:firstLine="0"/>
        <w:jc w:val="center"/>
      </w:pPr>
      <w:r>
        <w:drawing>
          <wp:inline xmlns:a="http://schemas.openxmlformats.org/drawingml/2006/main" xmlns:pic="http://schemas.openxmlformats.org/drawingml/2006/picture">
            <wp:extent cx="3108960" cy="2076475"/>
            <wp:docPr id="1" name="Picture 1"/>
            <wp:cNvGraphicFramePr>
              <a:graphicFrameLocks noChangeAspect="1"/>
            </wp:cNvGraphicFramePr>
            <a:graphic>
              <a:graphicData uri="http://schemas.openxmlformats.org/drawingml/2006/picture">
                <pic:pic>
                  <pic:nvPicPr>
                    <pic:cNvPr id="0" name="fig4_data_quality.png"/>
                    <pic:cNvPicPr/>
                  </pic:nvPicPr>
                  <pic:blipFill>
                    <a:blip r:embed="rId9"/>
                    <a:stretch>
                      <a:fillRect/>
                    </a:stretch>
                  </pic:blipFill>
                  <pic:spPr>
                    <a:xfrm>
                      <a:off x="0" y="0"/>
                      <a:ext cx="3108960" cy="2076475"/>
                    </a:xfrm>
                    <a:prstGeom prst="rect"/>
                  </pic:spPr>
                </pic:pic>
              </a:graphicData>
            </a:graphic>
          </wp:inline>
        </w:drawing>
      </w:r>
    </w:p>
    <w:p>
      <w:pPr>
        <w:spacing w:after="200"/>
        <w:ind w:firstLine="0"/>
        <w:jc w:val="left"/>
      </w:pPr>
      <w:r>
        <w:rPr>
          <w:sz w:val="16"/>
        </w:rPr>
        <w:t>Figure 1. Missing values by field. Thresholds at 5% and 30% mark the warn and fail bands. The 69.2% gap in other job title is a conditional field, not a data-quality failure.</w:t>
      </w:r>
    </w:p>
    <w:p>
      <w:pPr>
        <w:pStyle w:val="Heading2"/>
      </w:pPr>
      <w:r>
        <w:t>B. Distributions and Outliers</w:t>
      </w:r>
    </w:p>
    <w:p>
      <w:pPr>
        <w:jc w:val="both"/>
      </w:pPr>
      <w:r>
        <w:rPr>
          <w:b w:val="0"/>
          <w:i w:val="0"/>
        </w:rPr>
        <w:t>An interquartile-range screen flags outliers in four fields. Publications is the most extreme: the distribution is strongly right-skewed (skew = 1.99, mean 6.69, maximum 30), and the three highest values — 10, 26, and 30 — come from respondents aged 22 to 25 with four to five years of experience. A publication count of thirty at that career stage is not credible, and the most likely explanation is that respondents interpreted the question more broadly than intended. The item requires rewording before the full study.</w:t>
      </w:r>
    </w:p>
    <w:p>
      <w:pPr>
        <w:jc w:val="both"/>
      </w:pPr>
      <w:r>
        <w:rPr>
          <w:b w:val="0"/>
          <w:i w:val="0"/>
        </w:rPr>
        <w:t>Reported salary is similarly distorted. Its standard deviation (BDT 167,276) exceeds its mean (BDT 153,182), with a maximum of BDT 500,000 per month against a median of BDT 70,000. For the roles reported, the three highest values are implausible as monthly figures and may be annual amounts entered in a monthly field.</w:t>
      </w:r>
    </w:p>
    <w:p>
      <w:pPr>
        <w:jc w:val="both"/>
      </w:pPr>
      <w:r>
        <w:rPr>
          <w:b w:val="0"/>
          <w:i w:val="0"/>
        </w:rPr>
        <w:t>One further observation concerns the department field. After normalising case and spelling variants, it collapses to a single distinct value: every respondent reported a computer-science department. The field therefore has zero variance and can discriminate nothing. This confirms the homogeneity noted in Section III-C and is the reason the full study recruits across firms rather than through one academic network.</w:t>
      </w:r>
    </w:p>
    <w:p>
      <w:pPr>
        <w:pStyle w:val="Heading2"/>
      </w:pPr>
      <w:r>
        <w:t>C. The Salary–Satisfaction Relationship</w:t>
      </w:r>
    </w:p>
    <w:p>
      <w:pPr>
        <w:jc w:val="both"/>
      </w:pPr>
      <w:r>
        <w:rPr>
          <w:b w:val="0"/>
          <w:i w:val="0"/>
        </w:rPr>
        <w:t>The pilot's most consequential finding concerns the association between pay and satisfaction, shown in Figure 2. Across all eleven respondents who reported a usable salary, the correlation is moderately negative (r = −0.58 Pearson, ρ = −0.54 Spearman) — higher earners appear less satisfied.</w:t>
      </w:r>
    </w:p>
    <w:p>
      <w:pPr>
        <w:jc w:val="both"/>
      </w:pPr>
      <w:r>
        <w:rPr>
          <w:b w:val="0"/>
          <w:i w:val="0"/>
        </w:rPr>
        <w:t>That result does not survive scrutiny. Restricting the calculation to the eight respondents whose salary is plausible for their stated role eliminates it entirely (r = −0.02). The apparent inverse relationship is an artefact of three suspect data points, not a property of the population.</w:t>
      </w:r>
    </w:p>
    <w:p>
      <w:pPr>
        <w:spacing w:before="120"/>
        <w:ind w:firstLine="0"/>
        <w:jc w:val="center"/>
      </w:pPr>
      <w:r>
        <w:drawing>
          <wp:inline xmlns:a="http://schemas.openxmlformats.org/drawingml/2006/main" xmlns:pic="http://schemas.openxmlformats.org/drawingml/2006/picture">
            <wp:extent cx="3108960" cy="2295529"/>
            <wp:docPr id="2" name="Picture 2"/>
            <wp:cNvGraphicFramePr>
              <a:graphicFrameLocks noChangeAspect="1"/>
            </wp:cNvGraphicFramePr>
            <a:graphic>
              <a:graphicData uri="http://schemas.openxmlformats.org/drawingml/2006/picture">
                <pic:pic>
                  <pic:nvPicPr>
                    <pic:cNvPr id="0" name="fig2_salary_scatter.png"/>
                    <pic:cNvPicPr/>
                  </pic:nvPicPr>
                  <pic:blipFill>
                    <a:blip r:embed="rId10"/>
                    <a:stretch>
                      <a:fillRect/>
                    </a:stretch>
                  </pic:blipFill>
                  <pic:spPr>
                    <a:xfrm>
                      <a:off x="0" y="0"/>
                      <a:ext cx="3108960" cy="2295529"/>
                    </a:xfrm>
                    <a:prstGeom prst="rect"/>
                  </pic:spPr>
                </pic:pic>
              </a:graphicData>
            </a:graphic>
          </wp:inline>
        </w:drawing>
      </w:r>
    </w:p>
    <w:p>
      <w:pPr>
        <w:spacing w:after="200"/>
        <w:ind w:firstLine="0"/>
        <w:jc w:val="left"/>
      </w:pPr>
      <w:r>
        <w:rPr>
          <w:sz w:val="16"/>
        </w:rPr>
        <w:t>Figure 2. Reported salary against satisfaction. Triangles mark the three entries above BDT 200,000 per month judged implausible for the stated role. The correlation across all points (r = −0.58) collapses to r = −0.02 once they are excluded. “×2” marks two coincident respondents.</w:t>
      </w:r>
    </w:p>
    <w:p>
      <w:pPr>
        <w:jc w:val="both"/>
      </w:pPr>
      <w:r>
        <w:rPr>
          <w:b w:val="0"/>
          <w:i w:val="0"/>
        </w:rPr>
        <w:t>The methodological lesson is worth stating plainly, because it would have been easy to report the headline figure and stop. A correlation computed over eleven observations can be driven almost entirely by three of them. Had the negative coefficient been reported without the plausibility screen, the paper would have claimed an inverse pay–satisfaction relationship on the strength of three probable data-entry errors.</w:t>
      </w:r>
    </w:p>
    <w:p>
      <w:pPr>
        <w:jc w:val="both"/>
      </w:pPr>
      <w:r>
        <w:rPr>
          <w:b w:val="0"/>
          <w:i w:val="0"/>
        </w:rPr>
        <w:t>The screened result still bears on the hypothesis, but through absence rather than through sign: within this cohort, salary and satisfaction are essentially unrelated. That is consistent with H1 — satisfaction tracking perceived fairness rather than magnitude — and inconsistent with H0, which requires satisfaction to rise with pay.</w:t>
      </w:r>
    </w:p>
    <w:p>
      <w:pPr>
        <w:pStyle w:val="Heading2"/>
      </w:pPr>
      <w:r>
        <w:t>D. What Does Covary With Satisfaction</w:t>
      </w:r>
    </w:p>
    <w:p>
      <w:pPr>
        <w:jc w:val="both"/>
      </w:pPr>
      <w:r>
        <w:rPr>
          <w:b w:val="0"/>
          <w:i w:val="0"/>
        </w:rPr>
        <w:t>Figure 3 gives the Spearman correlation matrix. The strongest positive correlate of satisfaction is not salary but the manager performance rating (ρ = +0.70), followed by self-rated skill (ρ = +0.50). Both are recognition measures rather than pay measures, which is the association Murugan and Philimis report for information technology employees [5].</w:t>
      </w:r>
    </w:p>
    <w:p>
      <w:pPr>
        <w:spacing w:before="120"/>
        <w:ind w:firstLine="0"/>
        <w:jc w:val="center"/>
      </w:pPr>
      <w:r>
        <w:drawing>
          <wp:inline xmlns:a="http://schemas.openxmlformats.org/drawingml/2006/main" xmlns:pic="http://schemas.openxmlformats.org/drawingml/2006/picture">
            <wp:extent cx="3108960" cy="2659688"/>
            <wp:docPr id="3" name="Picture 3"/>
            <wp:cNvGraphicFramePr>
              <a:graphicFrameLocks noChangeAspect="1"/>
            </wp:cNvGraphicFramePr>
            <a:graphic>
              <a:graphicData uri="http://schemas.openxmlformats.org/drawingml/2006/picture">
                <pic:pic>
                  <pic:nvPicPr>
                    <pic:cNvPr id="0" name="fig3_correlation.png"/>
                    <pic:cNvPicPr/>
                  </pic:nvPicPr>
                  <pic:blipFill>
                    <a:blip r:embed="rId11"/>
                    <a:stretch>
                      <a:fillRect/>
                    </a:stretch>
                  </pic:blipFill>
                  <pic:spPr>
                    <a:xfrm>
                      <a:off x="0" y="0"/>
                      <a:ext cx="3108960" cy="2659688"/>
                    </a:xfrm>
                    <a:prstGeom prst="rect"/>
                  </pic:spPr>
                </pic:pic>
              </a:graphicData>
            </a:graphic>
          </wp:inline>
        </w:drawing>
      </w:r>
    </w:p>
    <w:p>
      <w:pPr>
        <w:spacing w:after="200"/>
        <w:ind w:firstLine="0"/>
        <w:jc w:val="left"/>
      </w:pPr>
      <w:r>
        <w:rPr>
          <w:sz w:val="16"/>
        </w:rPr>
        <w:t>Figure 3. Spearman rank correlations among pilot variables. The diverging scale is symmetric about zero with a neutral midpoint; cell values are printed so the matrix reads without colour.</w:t>
      </w:r>
    </w:p>
    <w:p>
      <w:pPr>
        <w:jc w:val="both"/>
      </w:pPr>
      <w:r>
        <w:rPr>
          <w:b w:val="0"/>
          <w:i w:val="0"/>
        </w:rPr>
        <w:t>At n = 13 none of these coefficients is statistically meaningful, and none is reported with a p-value for that reason. They are recorded as directions worth testing at scale, not as findings.</w:t>
      </w:r>
    </w:p>
    <w:p>
      <w:pPr>
        <w:pStyle w:val="Heading1"/>
      </w:pPr>
      <w:r>
        <w:t>V. Probable Results</w:t>
      </w:r>
    </w:p>
    <w:p>
      <w:pPr>
        <w:jc w:val="both"/>
      </w:pPr>
      <w:r>
        <w:rPr>
          <w:b w:val="0"/>
          <w:i w:val="0"/>
        </w:rPr>
        <w:t>The pilot provides a basis for anticipating the full study's outcome. Table 2 and Figure 4 report the observed distribution.</w:t>
      </w:r>
    </w:p>
    <w:p>
      <w:pPr>
        <w:spacing w:before="160" w:after="40"/>
        <w:ind w:firstLine="0"/>
        <w:jc w:val="center"/>
      </w:pPr>
      <w:r>
        <w:rPr>
          <w:smallCaps/>
          <w:sz w:val="16"/>
        </w:rPr>
        <w:t>Table 2. Pilot compensation satisfaction distribution (n = 13)</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ind w:firstLine="0"/>
            </w:pPr>
            <w:r/>
            <w:r>
              <w:rPr>
                <w:rFonts w:ascii="Times New Roman" w:hAnsi="Times New Roman"/>
                <w:b/>
                <w:sz w:val="16"/>
              </w:rPr>
              <w:t>Rating</w:t>
            </w:r>
          </w:p>
        </w:tc>
        <w:tc>
          <w:tcPr>
            <w:tcW w:type="dxa" w:w="3480"/>
          </w:tcPr>
          <w:p>
            <w:pPr>
              <w:ind w:firstLine="0"/>
            </w:pPr>
            <w:r/>
            <w:r>
              <w:rPr>
                <w:rFonts w:ascii="Times New Roman" w:hAnsi="Times New Roman"/>
                <w:b/>
                <w:sz w:val="16"/>
              </w:rPr>
              <w:t>Count</w:t>
            </w:r>
          </w:p>
        </w:tc>
        <w:tc>
          <w:tcPr>
            <w:tcW w:type="dxa" w:w="3480"/>
          </w:tcPr>
          <w:p>
            <w:pPr>
              <w:ind w:firstLine="0"/>
            </w:pPr>
            <w:r/>
            <w:r>
              <w:rPr>
                <w:rFonts w:ascii="Times New Roman" w:hAnsi="Times New Roman"/>
                <w:b/>
                <w:sz w:val="16"/>
              </w:rPr>
              <w:t>Share</w:t>
            </w:r>
          </w:p>
        </w:tc>
      </w:tr>
      <w:tr>
        <w:tc>
          <w:tcPr>
            <w:tcW w:type="dxa" w:w="3480"/>
          </w:tcPr>
          <w:p>
            <w:pPr>
              <w:ind w:firstLine="0"/>
            </w:pPr>
            <w:r/>
            <w:r>
              <w:rPr>
                <w:rFonts w:ascii="Times New Roman" w:hAnsi="Times New Roman"/>
                <w:sz w:val="16"/>
              </w:rPr>
              <w:t>5 — Very satisfied</w:t>
            </w:r>
          </w:p>
        </w:tc>
        <w:tc>
          <w:tcPr>
            <w:tcW w:type="dxa" w:w="3480"/>
          </w:tcPr>
          <w:p>
            <w:pPr>
              <w:ind w:firstLine="0"/>
            </w:pPr>
            <w:r/>
            <w:r>
              <w:rPr>
                <w:rFonts w:ascii="Times New Roman" w:hAnsi="Times New Roman"/>
                <w:sz w:val="16"/>
              </w:rPr>
              <w:t>3</w:t>
            </w:r>
          </w:p>
        </w:tc>
        <w:tc>
          <w:tcPr>
            <w:tcW w:type="dxa" w:w="3480"/>
          </w:tcPr>
          <w:p>
            <w:pPr>
              <w:ind w:firstLine="0"/>
            </w:pPr>
            <w:r/>
            <w:r>
              <w:rPr>
                <w:rFonts w:ascii="Times New Roman" w:hAnsi="Times New Roman"/>
                <w:sz w:val="16"/>
              </w:rPr>
              <w:t>23.1%</w:t>
            </w:r>
          </w:p>
        </w:tc>
      </w:tr>
      <w:tr>
        <w:tc>
          <w:tcPr>
            <w:tcW w:type="dxa" w:w="3480"/>
          </w:tcPr>
          <w:p>
            <w:pPr>
              <w:ind w:firstLine="0"/>
            </w:pPr>
            <w:r/>
            <w:r>
              <w:rPr>
                <w:rFonts w:ascii="Times New Roman" w:hAnsi="Times New Roman"/>
                <w:sz w:val="16"/>
              </w:rPr>
              <w:t>4 — Satisfied</w:t>
            </w:r>
          </w:p>
        </w:tc>
        <w:tc>
          <w:tcPr>
            <w:tcW w:type="dxa" w:w="3480"/>
          </w:tcPr>
          <w:p>
            <w:pPr>
              <w:ind w:firstLine="0"/>
            </w:pPr>
            <w:r/>
            <w:r>
              <w:rPr>
                <w:rFonts w:ascii="Times New Roman" w:hAnsi="Times New Roman"/>
                <w:sz w:val="16"/>
              </w:rPr>
              <w:t>2</w:t>
            </w:r>
          </w:p>
        </w:tc>
        <w:tc>
          <w:tcPr>
            <w:tcW w:type="dxa" w:w="3480"/>
          </w:tcPr>
          <w:p>
            <w:pPr>
              <w:ind w:firstLine="0"/>
            </w:pPr>
            <w:r/>
            <w:r>
              <w:rPr>
                <w:rFonts w:ascii="Times New Roman" w:hAnsi="Times New Roman"/>
                <w:sz w:val="16"/>
              </w:rPr>
              <w:t>15.4%</w:t>
            </w:r>
          </w:p>
        </w:tc>
      </w:tr>
      <w:tr>
        <w:tc>
          <w:tcPr>
            <w:tcW w:type="dxa" w:w="3480"/>
          </w:tcPr>
          <w:p>
            <w:pPr>
              <w:ind w:firstLine="0"/>
            </w:pPr>
            <w:r/>
            <w:r>
              <w:rPr>
                <w:rFonts w:ascii="Times New Roman" w:hAnsi="Times New Roman"/>
                <w:sz w:val="16"/>
              </w:rPr>
              <w:t>3 — Neutral</w:t>
            </w:r>
          </w:p>
        </w:tc>
        <w:tc>
          <w:tcPr>
            <w:tcW w:type="dxa" w:w="3480"/>
          </w:tcPr>
          <w:p>
            <w:pPr>
              <w:ind w:firstLine="0"/>
            </w:pPr>
            <w:r/>
            <w:r>
              <w:rPr>
                <w:rFonts w:ascii="Times New Roman" w:hAnsi="Times New Roman"/>
                <w:sz w:val="16"/>
              </w:rPr>
              <w:t>6</w:t>
            </w:r>
          </w:p>
        </w:tc>
        <w:tc>
          <w:tcPr>
            <w:tcW w:type="dxa" w:w="3480"/>
          </w:tcPr>
          <w:p>
            <w:pPr>
              <w:ind w:firstLine="0"/>
            </w:pPr>
            <w:r/>
            <w:r>
              <w:rPr>
                <w:rFonts w:ascii="Times New Roman" w:hAnsi="Times New Roman"/>
                <w:sz w:val="16"/>
              </w:rPr>
              <w:t>46.2%</w:t>
            </w:r>
          </w:p>
        </w:tc>
      </w:tr>
      <w:tr>
        <w:tc>
          <w:tcPr>
            <w:tcW w:type="dxa" w:w="3480"/>
          </w:tcPr>
          <w:p>
            <w:pPr>
              <w:ind w:firstLine="0"/>
            </w:pPr>
            <w:r/>
            <w:r>
              <w:rPr>
                <w:rFonts w:ascii="Times New Roman" w:hAnsi="Times New Roman"/>
                <w:sz w:val="16"/>
              </w:rPr>
              <w:t>2 — Dissatisfied</w:t>
            </w:r>
          </w:p>
        </w:tc>
        <w:tc>
          <w:tcPr>
            <w:tcW w:type="dxa" w:w="3480"/>
          </w:tcPr>
          <w:p>
            <w:pPr>
              <w:ind w:firstLine="0"/>
            </w:pPr>
            <w:r/>
            <w:r>
              <w:rPr>
                <w:rFonts w:ascii="Times New Roman" w:hAnsi="Times New Roman"/>
                <w:sz w:val="16"/>
              </w:rPr>
              <w:t>1</w:t>
            </w:r>
          </w:p>
        </w:tc>
        <w:tc>
          <w:tcPr>
            <w:tcW w:type="dxa" w:w="3480"/>
          </w:tcPr>
          <w:p>
            <w:pPr>
              <w:ind w:firstLine="0"/>
            </w:pPr>
            <w:r/>
            <w:r>
              <w:rPr>
                <w:rFonts w:ascii="Times New Roman" w:hAnsi="Times New Roman"/>
                <w:sz w:val="16"/>
              </w:rPr>
              <w:t>7.7%</w:t>
            </w:r>
          </w:p>
        </w:tc>
      </w:tr>
      <w:tr>
        <w:tc>
          <w:tcPr>
            <w:tcW w:type="dxa" w:w="3480"/>
          </w:tcPr>
          <w:p>
            <w:pPr>
              <w:ind w:firstLine="0"/>
            </w:pPr>
            <w:r/>
            <w:r>
              <w:rPr>
                <w:rFonts w:ascii="Times New Roman" w:hAnsi="Times New Roman"/>
                <w:sz w:val="16"/>
              </w:rPr>
              <w:t>1 — Very dissatisfied</w:t>
            </w:r>
          </w:p>
        </w:tc>
        <w:tc>
          <w:tcPr>
            <w:tcW w:type="dxa" w:w="3480"/>
          </w:tcPr>
          <w:p>
            <w:pPr>
              <w:ind w:firstLine="0"/>
            </w:pPr>
            <w:r/>
            <w:r>
              <w:rPr>
                <w:rFonts w:ascii="Times New Roman" w:hAnsi="Times New Roman"/>
                <w:sz w:val="16"/>
              </w:rPr>
              <w:t>1</w:t>
            </w:r>
          </w:p>
        </w:tc>
        <w:tc>
          <w:tcPr>
            <w:tcW w:type="dxa" w:w="3480"/>
          </w:tcPr>
          <w:p>
            <w:pPr>
              <w:ind w:firstLine="0"/>
            </w:pPr>
            <w:r/>
            <w:r>
              <w:rPr>
                <w:rFonts w:ascii="Times New Roman" w:hAnsi="Times New Roman"/>
                <w:sz w:val="16"/>
              </w:rPr>
              <w:t>7.7%</w:t>
            </w:r>
          </w:p>
        </w:tc>
      </w:tr>
      <w:tr>
        <w:tc>
          <w:tcPr>
            <w:tcW w:type="dxa" w:w="3480"/>
          </w:tcPr>
          <w:p>
            <w:pPr>
              <w:ind w:firstLine="0"/>
            </w:pPr>
            <w:r/>
            <w:r>
              <w:rPr>
                <w:rFonts w:ascii="Times New Roman" w:hAnsi="Times New Roman"/>
                <w:sz w:val="16"/>
              </w:rPr>
              <w:t>Mean</w:t>
            </w:r>
          </w:p>
        </w:tc>
        <w:tc>
          <w:tcPr>
            <w:tcW w:type="dxa" w:w="3480"/>
          </w:tcPr>
          <w:p>
            <w:pPr>
              <w:ind w:firstLine="0"/>
            </w:pPr>
            <w:r/>
            <w:r>
              <w:rPr>
                <w:rFonts w:ascii="Times New Roman" w:hAnsi="Times New Roman"/>
                <w:sz w:val="16"/>
              </w:rPr>
              <w:t>3.38</w:t>
            </w:r>
          </w:p>
        </w:tc>
        <w:tc>
          <w:tcPr>
            <w:tcW w:type="dxa" w:w="3480"/>
          </w:tcPr>
          <w:p>
            <w:pPr>
              <w:ind w:firstLine="0"/>
            </w:pPr>
            <w:r/>
            <w:r>
              <w:rPr>
                <w:rFonts w:ascii="Times New Roman" w:hAnsi="Times New Roman"/>
                <w:sz w:val="16"/>
              </w:rPr>
              <w:t>—</w:t>
            </w:r>
          </w:p>
        </w:tc>
      </w:tr>
      <w:tr>
        <w:tc>
          <w:tcPr>
            <w:tcW w:type="dxa" w:w="3480"/>
          </w:tcPr>
          <w:p>
            <w:pPr>
              <w:ind w:firstLine="0"/>
            </w:pPr>
            <w:r/>
            <w:r>
              <w:rPr>
                <w:rFonts w:ascii="Times New Roman" w:hAnsi="Times New Roman"/>
                <w:sz w:val="16"/>
              </w:rPr>
              <w:t>Median / Mode</w:t>
            </w:r>
          </w:p>
        </w:tc>
        <w:tc>
          <w:tcPr>
            <w:tcW w:type="dxa" w:w="3480"/>
          </w:tcPr>
          <w:p>
            <w:pPr>
              <w:ind w:firstLine="0"/>
            </w:pPr>
            <w:r/>
            <w:r>
              <w:rPr>
                <w:rFonts w:ascii="Times New Roman" w:hAnsi="Times New Roman"/>
                <w:sz w:val="16"/>
              </w:rPr>
              <w:t>3 / 3</w:t>
            </w:r>
          </w:p>
        </w:tc>
        <w:tc>
          <w:tcPr>
            <w:tcW w:type="dxa" w:w="3480"/>
          </w:tcPr>
          <w:p>
            <w:pPr>
              <w:ind w:firstLine="0"/>
            </w:pPr>
            <w:r/>
            <w:r>
              <w:rPr>
                <w:rFonts w:ascii="Times New Roman" w:hAnsi="Times New Roman"/>
                <w:sz w:val="16"/>
              </w:rPr>
              <w:t>—</w:t>
            </w:r>
          </w:p>
        </w:tc>
      </w:tr>
      <w:tr>
        <w:tc>
          <w:tcPr>
            <w:tcW w:type="dxa" w:w="3480"/>
          </w:tcPr>
          <w:p>
            <w:pPr>
              <w:ind w:firstLine="0"/>
            </w:pPr>
            <w:r/>
            <w:r>
              <w:rPr>
                <w:rFonts w:ascii="Times New Roman" w:hAnsi="Times New Roman"/>
                <w:sz w:val="16"/>
              </w:rPr>
              <w:t>Satisfied (≥ 4)</w:t>
            </w:r>
          </w:p>
        </w:tc>
        <w:tc>
          <w:tcPr>
            <w:tcW w:type="dxa" w:w="3480"/>
          </w:tcPr>
          <w:p>
            <w:pPr>
              <w:ind w:firstLine="0"/>
            </w:pPr>
            <w:r/>
            <w:r>
              <w:rPr>
                <w:rFonts w:ascii="Times New Roman" w:hAnsi="Times New Roman"/>
                <w:sz w:val="16"/>
              </w:rPr>
              <w:t>5</w:t>
            </w:r>
          </w:p>
        </w:tc>
        <w:tc>
          <w:tcPr>
            <w:tcW w:type="dxa" w:w="3480"/>
          </w:tcPr>
          <w:p>
            <w:pPr>
              <w:ind w:firstLine="0"/>
            </w:pPr>
            <w:r/>
            <w:r>
              <w:rPr>
                <w:rFonts w:ascii="Times New Roman" w:hAnsi="Times New Roman"/>
                <w:sz w:val="16"/>
              </w:rPr>
              <w:t>38.5%</w:t>
            </w:r>
          </w:p>
        </w:tc>
      </w:tr>
    </w:tbl>
    <w:p>
      <w:pPr>
        <w:spacing w:after="160"/>
        <w:ind w:firstLine="0"/>
      </w:pPr>
    </w:p>
    <w:p>
      <w:pPr>
        <w:spacing w:before="120"/>
        <w:ind w:firstLine="0"/>
        <w:jc w:val="center"/>
      </w:pPr>
      <w:r>
        <w:drawing>
          <wp:inline xmlns:a="http://schemas.openxmlformats.org/drawingml/2006/main" xmlns:pic="http://schemas.openxmlformats.org/drawingml/2006/picture">
            <wp:extent cx="3108960" cy="2281742"/>
            <wp:docPr id="4" name="Picture 4"/>
            <wp:cNvGraphicFramePr>
              <a:graphicFrameLocks noChangeAspect="1"/>
            </wp:cNvGraphicFramePr>
            <a:graphic>
              <a:graphicData uri="http://schemas.openxmlformats.org/drawingml/2006/picture">
                <pic:pic>
                  <pic:nvPicPr>
                    <pic:cNvPr id="0" name="fig1_satisfaction.png"/>
                    <pic:cNvPicPr/>
                  </pic:nvPicPr>
                  <pic:blipFill>
                    <a:blip r:embed="rId12"/>
                    <a:stretch>
                      <a:fillRect/>
                    </a:stretch>
                  </pic:blipFill>
                  <pic:spPr>
                    <a:xfrm>
                      <a:off x="0" y="0"/>
                      <a:ext cx="3108960" cy="2281742"/>
                    </a:xfrm>
                    <a:prstGeom prst="rect"/>
                  </pic:spPr>
                </pic:pic>
              </a:graphicData>
            </a:graphic>
          </wp:inline>
        </w:drawing>
      </w:r>
    </w:p>
    <w:p>
      <w:pPr>
        <w:spacing w:after="200"/>
        <w:ind w:firstLine="0"/>
        <w:jc w:val="left"/>
      </w:pPr>
      <w:r>
        <w:rPr>
          <w:sz w:val="16"/>
        </w:rPr>
        <w:t>Figure 4. Compensation satisfaction in the pilot (n = 13). The modal response is the neutral midpoint; fewer than two respondents in five rate their compensation at 4 or above.</w:t>
      </w:r>
    </w:p>
    <w:p>
      <w:pPr>
        <w:jc w:val="both"/>
      </w:pPr>
      <w:r>
        <w:rPr>
          <w:b w:val="0"/>
          <w:i w:val="0"/>
        </w:rPr>
        <w:t>Three patterns are expected to persist at scale.</w:t>
      </w:r>
    </w:p>
    <w:p>
      <w:pPr>
        <w:jc w:val="both"/>
      </w:pPr>
      <w:r>
        <w:rPr>
          <w:b w:val="0"/>
          <w:i w:val="0"/>
        </w:rPr>
        <w:t>First, the central tendency is neutral, not positive. Fewer than two in five pilot respondents rated their compensation satisfaction at four or above, and the modal response was the midpoint. The full study is therefore expected to find that early-career technology professionals are predominantly neutral about their compensation rather than satisfied with it.</w:t>
      </w:r>
    </w:p>
    <w:p>
      <w:pPr>
        <w:jc w:val="both"/>
      </w:pPr>
      <w:r>
        <w:rPr>
          <w:b w:val="0"/>
          <w:i w:val="0"/>
        </w:rPr>
        <w:t>Second, the qualitative responses point to fairness rather than magnitude. Where respondents elaborated, they described compensation that should reflect “role, responsibilities, workload, and market standard,” asked for “fair evaluation,” and tied increases to “responsibilities and performance.” Only one response named a specific figure. This is the pattern equity theory predicts [1] and is consistent with salary operating as a hygiene factor [2]. It is the primary reason H1 is favoured over H0.</w:t>
      </w:r>
    </w:p>
    <w:p>
      <w:pPr>
        <w:jc w:val="both"/>
      </w:pPr>
      <w:r>
        <w:rPr>
          <w:b w:val="0"/>
          <w:i w:val="0"/>
        </w:rPr>
        <w:t>Third, satisfaction is not a function of reported salary. As Section IV-C established, the screened association is effectively zero, while the manager rating shows the strongest positive relationship in the matrix. This is what the meta-analytic evidence would lead one to expect [4], and it is the observation that most justifies collecting perceptual data rather than inferring satisfaction from payroll records.</w:t>
      </w:r>
    </w:p>
    <w:p>
      <w:pPr>
        <w:jc w:val="both"/>
      </w:pPr>
      <w:r>
        <w:rPr>
          <w:b w:val="0"/>
          <w:i w:val="0"/>
        </w:rPr>
        <w:t>These are anticipations, not findings. The pilot is too small to establish any of them.</w:t>
      </w:r>
    </w:p>
    <w:p>
      <w:pPr>
        <w:pStyle w:val="Heading1"/>
      </w:pPr>
      <w:r>
        <w:t>VI. Limitations</w:t>
      </w:r>
    </w:p>
    <w:p>
      <w:pPr>
        <w:jc w:val="both"/>
      </w:pPr>
      <w:r>
        <w:rPr>
          <w:b w:val="0"/>
          <w:i w:val="0"/>
        </w:rPr>
        <w:t>The pilot has four limitations that constrain what may be claimed from it, and that the full study is designed to address.</w:t>
      </w:r>
    </w:p>
    <w:p>
      <w:pPr>
        <w:jc w:val="both"/>
      </w:pPr>
      <w:r>
        <w:rPr>
          <w:b w:val="0"/>
          <w:i w:val="0"/>
        </w:rPr>
        <w:t>Sample size is the principal constraint. Thirteen responses support description only. No significance test is reported here because none would be meaningful at this n, and no proportion given above should be read as an estimate of a population parameter.</w:t>
      </w:r>
    </w:p>
    <w:p>
      <w:pPr>
        <w:jc w:val="both"/>
      </w:pPr>
      <w:r>
        <w:rPr>
          <w:b w:val="0"/>
          <w:i w:val="0"/>
        </w:rPr>
        <w:t>Sampling was non-probabilistic and homogeneous. The exploratory analysis quantified this: after normalisation the department field held one distinct value across all thirteen responses. The pilot therefore describes a single narrow cohort and cannot speak to compensation satisfaction in other sectors, age groups, or educational backgrounds. The full study widens recruitment across firms rather than through one academic network, though it remains a convenience sample.</w:t>
      </w:r>
    </w:p>
    <w:p>
      <w:pPr>
        <w:jc w:val="both"/>
      </w:pPr>
      <w:r>
        <w:rPr>
          <w:b w:val="0"/>
          <w:i w:val="0"/>
        </w:rPr>
        <w:t>Self-reported measures were unverified, and two proved unreliable. Salary contained entries inconsistent with the stated role by an order of magnitude plus two zeros; the full instrument replaces the free-text field with banded options, reducing both entry error and disclosure reluctance. Publication counts reached thirty for a respondent with five years of experience, indicating that the question was read more broadly than intended; it requires rewording with an explicit definition.</w:t>
      </w:r>
    </w:p>
    <w:p>
      <w:pPr>
        <w:jc w:val="both"/>
      </w:pPr>
      <w:r>
        <w:rPr>
          <w:b w:val="0"/>
          <w:i w:val="0"/>
        </w:rPr>
        <w:t>The satisfaction measure was single-item. Since pay satisfaction is established as multidimensional [3], a single rating conflates satisfaction with pay level, raises, benefits, and administration. The full study replaces it with a multi-item scale separating those dimensions.</w:t>
      </w:r>
    </w:p>
    <w:p>
      <w:pPr>
        <w:pStyle w:val="Heading1"/>
      </w:pPr>
      <w:r>
        <w:t>VII. Conclusion and Recommendations</w:t>
      </w:r>
    </w:p>
    <w:p>
      <w:pPr>
        <w:jc w:val="both"/>
      </w:pPr>
      <w:r>
        <w:rPr>
          <w:b w:val="0"/>
          <w:i w:val="0"/>
        </w:rPr>
        <w:t>This proposal has set out a mixed-methods design for measuring compensation satisfaction among early-career technology professionals, combining a structured questionnaire, semi-structured interviews, and a literature review. Pilot evidence from thirteen respondents indicates predominantly neutral satisfaction, with elaborated complaints concentrated on fairness rather than on salary magnitude.</w:t>
      </w:r>
    </w:p>
    <w:p>
      <w:pPr>
        <w:jc w:val="both"/>
      </w:pPr>
      <w:r>
        <w:rPr>
          <w:b w:val="0"/>
          <w:i w:val="0"/>
        </w:rPr>
        <w:t>Three recommendations follow, each contingent on the full study confirming the pilot pattern.</w:t>
      </w:r>
    </w:p>
    <w:p>
      <w:pPr>
        <w:jc w:val="both"/>
      </w:pPr>
      <w:r>
        <w:rPr>
          <w:b w:val="0"/>
          <w:i w:val="0"/>
        </w:rPr>
        <w:t>For employers, compensation dissatisfaction should not be treated as solely a pricing problem. If the grievance concerns the relationship between pay and responsibility rather than the figure itself, an across-the-board increase is an expensive response to a mis-diagnosed cause. Publishing role-to-band mappings and the criteria governing progression addresses the stated concern more directly.</w:t>
      </w:r>
    </w:p>
    <w:p>
      <w:pPr>
        <w:jc w:val="both"/>
      </w:pPr>
      <w:r>
        <w:rPr>
          <w:b w:val="0"/>
          <w:i w:val="0"/>
        </w:rPr>
        <w:t>For practitioners designing compensation reviews, the asymmetry between magnitude and fairness complaints is measurable and should be measured. Pairing a satisfaction rating with one open question about fairness costs little and distinguishes the two.</w:t>
      </w:r>
    </w:p>
    <w:p>
      <w:pPr>
        <w:jc w:val="both"/>
      </w:pPr>
      <w:r>
        <w:rPr>
          <w:b w:val="0"/>
          <w:i w:val="0"/>
        </w:rPr>
        <w:t>For researchers, the under-representation of South Asian early-career technology cohorts in the pay satisfaction literature is worth addressing. The instrument described here is offered as a replicable starting point, with the caveat that its single-item satisfaction measure requires replacement by a multidimensional scale before any inferential claim is attempted.</w:t>
      </w:r>
    </w:p>
    <w:p>
      <w:pPr>
        <w:pStyle w:val="Heading1"/>
      </w:pPr>
      <w:r>
        <w:t>Declarations</w:t>
      </w:r>
    </w:p>
    <w:p>
      <w:pPr>
        <w:spacing w:after="60"/>
        <w:ind w:firstLine="288"/>
        <w:jc w:val="both"/>
      </w:pPr>
      <w:r>
        <w:rPr>
          <w:b/>
          <w:i w:val="0"/>
          <w:sz w:val="20"/>
        </w:rPr>
        <w:t xml:space="preserve">Data Availability. </w:t>
      </w:r>
      <w:r>
        <w:rPr>
          <w:b w:val="0"/>
          <w:i w:val="0"/>
          <w:sz w:val="20"/>
        </w:rPr>
        <w:t>The anonymised pilot dataset and the processing scripts supporting this proposal are available in the project repository. Submission timestamps were removed prior to archiving. Individual-level records containing identifying attributes are not distributed.</w:t>
      </w:r>
    </w:p>
    <w:p>
      <w:pPr>
        <w:spacing w:after="60"/>
        <w:ind w:firstLine="288"/>
        <w:jc w:val="both"/>
      </w:pPr>
      <w:r>
        <w:rPr>
          <w:b/>
          <w:i w:val="0"/>
          <w:sz w:val="20"/>
        </w:rPr>
        <w:t xml:space="preserve">Ethics. </w:t>
      </w:r>
      <w:r>
        <w:rPr>
          <w:b w:val="0"/>
          <w:i w:val="0"/>
          <w:sz w:val="20"/>
        </w:rPr>
        <w:t>Pilot participation was voluntary. No names, employer identifiers, or contact details were collected. As a course-level pilot conducted without institutional funding, the study did not undergo formal ethics board review; the full study will be submitted for review before data collection begins.</w:t>
      </w:r>
    </w:p>
    <w:p>
      <w:pPr>
        <w:spacing w:after="60"/>
        <w:ind w:firstLine="288"/>
        <w:jc w:val="both"/>
      </w:pPr>
      <w:r>
        <w:rPr>
          <w:b/>
          <w:i w:val="0"/>
          <w:sz w:val="20"/>
        </w:rPr>
        <w:t xml:space="preserve">Author Contributions (CRediT). </w:t>
      </w:r>
      <w:r>
        <w:rPr>
          <w:b w:val="0"/>
          <w:i w:val="0"/>
          <w:sz w:val="20"/>
        </w:rPr>
        <w:t>Md. Rakib Hossain — Conceptualization, Methodology, Investigation, Data Curation, Formal Analysis, Writing (original draft), Writing (review and editing).</w:t>
      </w:r>
    </w:p>
    <w:p>
      <w:pPr>
        <w:spacing w:after="60"/>
        <w:ind w:firstLine="288"/>
        <w:jc w:val="both"/>
      </w:pPr>
      <w:r>
        <w:rPr>
          <w:b/>
          <w:i w:val="0"/>
          <w:sz w:val="20"/>
        </w:rPr>
        <w:t xml:space="preserve">Conflict of Interest. </w:t>
      </w:r>
      <w:r>
        <w:rPr>
          <w:b w:val="0"/>
          <w:i w:val="0"/>
          <w:sz w:val="20"/>
        </w:rPr>
        <w:t>The author declares no competing interests.</w:t>
      </w:r>
    </w:p>
    <w:p>
      <w:pPr>
        <w:spacing w:after="60"/>
        <w:ind w:firstLine="288"/>
        <w:jc w:val="both"/>
      </w:pPr>
      <w:r>
        <w:rPr>
          <w:b/>
          <w:i w:val="0"/>
          <w:sz w:val="20"/>
        </w:rPr>
        <w:t xml:space="preserve">Funding. </w:t>
      </w:r>
      <w:r>
        <w:rPr>
          <w:b w:val="0"/>
          <w:i w:val="0"/>
          <w:sz w:val="20"/>
        </w:rPr>
        <w:t>This research received no external funding.</w:t>
      </w:r>
    </w:p>
    <w:p>
      <w:pPr>
        <w:spacing w:after="60"/>
        <w:ind w:firstLine="288"/>
        <w:jc w:val="both"/>
      </w:pPr>
      <w:r>
        <w:rPr>
          <w:b/>
          <w:i w:val="0"/>
          <w:sz w:val="20"/>
        </w:rPr>
        <w:t xml:space="preserve">AI Usage Disclosure. </w:t>
      </w:r>
      <w:r>
        <w:rPr>
          <w:b w:val="0"/>
          <w:i w:val="0"/>
          <w:sz w:val="20"/>
        </w:rPr>
        <w:t>An AI assistant (Claude, Anthropic) was used to assist with drafting and structuring this manuscript, to compute descriptive statistics from the pilot dataset, and to verify bibliographic metadata against Crossref. All cited references were checked against Crossref DOI records. The author reviewed and is responsible for all content, including the interpretation of results and the conclusions drawn.</w:t>
      </w:r>
    </w:p>
    <w:p>
      <w:pPr>
        <w:pStyle w:val="Heading1"/>
      </w:pPr>
      <w:r>
        <w:t>References</w:t>
      </w:r>
    </w:p>
    <w:p>
      <w:pPr>
        <w:spacing w:after="40"/>
        <w:ind w:left="317" w:hanging="317"/>
        <w:jc w:val="both"/>
      </w:pPr>
      <w:r>
        <w:rPr>
          <w:sz w:val="16"/>
        </w:rPr>
        <w:t>[1] J. S. Adams, “Towards an understanding of inequity,” The Journal of Abnormal and Social Psychology, vol. 67, no. 5, pp. 422–436, 1963, doi: 10.1037/h0040968.</w:t>
      </w:r>
    </w:p>
    <w:p>
      <w:pPr>
        <w:spacing w:after="40"/>
        <w:ind w:left="317" w:hanging="317"/>
        <w:jc w:val="both"/>
      </w:pPr>
      <w:r>
        <w:rPr>
          <w:sz w:val="16"/>
        </w:rPr>
        <w:t>[2] F. Herzberg, B. Mausner, and B. B. Snyderman, The Motivation to Work, 2nd ed. New York, NY, USA: John Wiley and Sons, 1959.</w:t>
      </w:r>
    </w:p>
    <w:p>
      <w:pPr>
        <w:spacing w:after="40"/>
        <w:ind w:left="317" w:hanging="317"/>
        <w:jc w:val="both"/>
      </w:pPr>
      <w:r>
        <w:rPr>
          <w:sz w:val="16"/>
        </w:rPr>
        <w:t>[3] H. G. Heneman and D. P. Schwab, “Pay satisfaction: Its multidimensional nature and measurement,” International Journal of Psychology, vol. 20, no. 1, pp. 129–141, 1985, doi: 10.1080/00207598508247727.</w:t>
      </w:r>
    </w:p>
    <w:p>
      <w:pPr>
        <w:spacing w:after="40"/>
        <w:ind w:left="317" w:hanging="317"/>
        <w:jc w:val="both"/>
      </w:pPr>
      <w:r>
        <w:rPr>
          <w:sz w:val="16"/>
        </w:rPr>
        <w:t>[4] M. L. Williams, M. A. McDaniel, and N. T. Nguyen, “A meta-analysis of the antecedents and consequences of pay level satisfaction,” Journal of Applied Psychology, vol. 91, no. 2, pp. 392–413, 2006, doi: 10.1037/0021-9010.91.2.392.</w:t>
      </w:r>
    </w:p>
    <w:p>
      <w:pPr>
        <w:spacing w:after="40"/>
        <w:ind w:left="317" w:hanging="317"/>
        <w:jc w:val="both"/>
      </w:pPr>
      <w:r>
        <w:rPr>
          <w:sz w:val="16"/>
        </w:rPr>
        <w:t>[5] K. P. Murugan and J. Philimis, “Determinants of employee retention in the IT sector: An empirical study on the impact of recognition, compensation, and work environment,” International Review of Economics, vol. 72, no. 2, 2025, doi: 10.1007/s12232-025-00507-9.</w:t>
      </w:r>
    </w:p>
    <w:sectPr w:rsidR="00FC693F" w:rsidRPr="0006063C" w:rsidSect="00034616">
      <w:type w:val="continuous"/>
      <w:pgSz w:w="12240" w:h="15840"/>
      <w:pgMar w:top="1080" w:right="900" w:bottom="1440" w:left="900"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ind w:firstLine="288"/>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ind w:firstLine="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40"/>
      <w:ind w:firstLine="0"/>
      <w:jc w:val="left"/>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