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Determination of Potentially Toxic Elements in Muscles of Selected Contaminated Freshwater Fish Species and Implications on Human Health</w:t>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Heavy metals contamination assessment in Muscles of Selected Contaminated Freshwater Fish Species and Implications on Consumer's Health</w:t>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Heavy Metals Contamination and Bioaccumulation in Commonly Consumed Fish Species in an Urban River of Bangladesh and Implications on Consumer's Health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8"/>
          <w:szCs w:val="28"/>
        </w:rPr>
        <w:t>Introduction</w:t>
      </w:r>
    </w:p>
    <w:p>
      <w:pPr>
        <w:pStyle w:val="Normal"/>
        <w:spacing w:lineRule="auto" w:line="360"/>
        <w:jc w:val="both"/>
        <w:rPr>
          <w:rFonts w:ascii="Times New Roman" w:hAnsi="Times New Roman" w:cs="Times New Roman"/>
        </w:rPr>
      </w:pPr>
      <w:r>
        <w:rPr>
          <w:rFonts w:cs="Times New Roman" w:ascii="Times New Roman" w:hAnsi="Times New Roman"/>
        </w:rPr>
        <w:t xml:space="preserve">The continuous influx of metal(loids) derived from anthropogenic activities and natural pedogenic processes pose an objective threat to the ecosystems that are endowed with freshwater reservoirs. Environmentally toxic elements are present; characteristically, they are freely dissolved and are readily taken up by aquatic animals in freshwater. </w:t>
      </w:r>
      <w:r>
        <w:rPr>
          <w:rFonts w:cs="Times New Roman" w:ascii="Times New Roman" w:hAnsi="Times New Roman"/>
          <w:shd w:fill="DDDDDD" w:val="clear"/>
        </w:rPr>
        <w:t>Consequences may ensue in the form of biomagnifications in large food chains, as metals pose considerable toxicity by the process of bioaccumulations in tissues (</w:t>
      </w:r>
      <w:r>
        <w:rPr>
          <w:rFonts w:cs="Times New Roman" w:ascii="Times New Roman" w:hAnsi="Times New Roman"/>
          <w:color w:val="0070C0"/>
          <w:shd w:fill="DDDDDD" w:val="clear"/>
        </w:rPr>
        <w:t>Zhou et al., 2020</w:t>
      </w:r>
      <w:r>
        <w:rPr>
          <w:rFonts w:cs="Times New Roman" w:ascii="Times New Roman" w:hAnsi="Times New Roman"/>
          <w:shd w:fill="DDDDDD" w:val="clear"/>
        </w:rPr>
        <w:t>).</w:t>
      </w:r>
      <w:r>
        <w:rPr>
          <w:rFonts w:cs="Times New Roman" w:ascii="Times New Roman" w:hAnsi="Times New Roman"/>
        </w:rPr>
        <w:t xml:space="preserve"> Potential toxic elements (PTEs) loading in surface water bodies is a chief concern of environmental management in global contexts (</w:t>
      </w:r>
      <w:r>
        <w:rPr>
          <w:rFonts w:cs="Times New Roman" w:ascii="Times New Roman" w:hAnsi="Times New Roman"/>
          <w:color w:val="0070C0"/>
        </w:rPr>
        <w:t>Karvelas et al., 2003; Jolly et al., 2023a</w:t>
      </w:r>
      <w:r>
        <w:rPr>
          <w:rFonts w:cs="Times New Roman" w:ascii="Times New Roman" w:hAnsi="Times New Roman"/>
        </w:rPr>
        <w:t xml:space="preserve">). </w:t>
      </w:r>
      <w:r>
        <w:rPr>
          <w:rFonts w:cs="Times New Roman" w:ascii="Times New Roman" w:hAnsi="Times New Roman"/>
          <w:shd w:fill="DDDDDD" w:val="clear"/>
        </w:rPr>
        <w:t>In developing nations, limnic bodies may often be used as a convenient means of discharging wastes that act as a major polluting factor, and are a result of prioritizing management practices at the expense of the wellbeing of the environment.</w:t>
      </w:r>
      <w:r>
        <w:rPr>
          <w:rFonts w:cs="Times New Roman" w:ascii="Times New Roman" w:hAnsi="Times New Roman"/>
        </w:rPr>
        <w:t xml:space="preserve"> Bangladesh is particularly vulnerable to such pollutant loading, in regions where the practice of release of untreated effluents into water bodies is often overlooked to reduce costs (</w:t>
      </w:r>
      <w:r>
        <w:rPr>
          <w:rFonts w:cs="Times New Roman" w:ascii="Times New Roman" w:hAnsi="Times New Roman"/>
          <w:color w:val="0070C0"/>
        </w:rPr>
        <w:t>Uddin and Jeong, 2021</w:t>
      </w:r>
      <w:r>
        <w:rPr>
          <w:rFonts w:cs="Times New Roman" w:ascii="Times New Roman" w:hAnsi="Times New Roman"/>
        </w:rPr>
        <w:t xml:space="preserve">). </w:t>
      </w:r>
    </w:p>
    <w:p>
      <w:pPr>
        <w:pStyle w:val="Normal"/>
        <w:spacing w:lineRule="auto" w:line="360"/>
        <w:jc w:val="both"/>
        <w:rPr>
          <w:rFonts w:ascii="Times New Roman" w:hAnsi="Times New Roman" w:cs="Times New Roman"/>
        </w:rPr>
      </w:pPr>
      <w:r>
        <w:rPr>
          <w:rFonts w:cs="Times New Roman" w:ascii="Times New Roman" w:hAnsi="Times New Roman"/>
        </w:rPr>
        <w:t xml:space="preserve">The threat of potential toxic elements to </w:t>
      </w:r>
      <w:commentRangeStart w:id="0"/>
      <w:r>
        <w:rPr>
          <w:rFonts w:cs="Times New Roman" w:ascii="Times New Roman" w:hAnsi="Times New Roman"/>
        </w:rPr>
        <w:t>aquatic ecosystems and by extension, humans,</w:t>
      </w:r>
      <w:r>
        <w:rPr>
          <w:rFonts w:cs="Times New Roman" w:ascii="Times New Roman" w:hAnsi="Times New Roman"/>
        </w:rPr>
      </w:r>
      <w:commentRangeEnd w:id="0"/>
      <w:r>
        <w:commentReference w:id="0"/>
      </w:r>
      <w:r>
        <w:rPr>
          <w:rFonts w:cs="Times New Roman" w:ascii="Times New Roman" w:hAnsi="Times New Roman"/>
        </w:rPr>
        <w:t xml:space="preserve"> has been intensifying in recent decades (</w:t>
      </w:r>
      <w:r>
        <w:rPr>
          <w:rFonts w:cs="Times New Roman" w:ascii="Times New Roman" w:hAnsi="Times New Roman"/>
          <w:color w:val="0070C0"/>
        </w:rPr>
        <w:t>Bhuiyan et al., 2011; Jolly et al., 2023a</w:t>
      </w:r>
      <w:r>
        <w:rPr>
          <w:rFonts w:cs="Times New Roman" w:ascii="Times New Roman" w:hAnsi="Times New Roman"/>
        </w:rPr>
        <w:t xml:space="preserve">). </w:t>
      </w:r>
      <w:commentRangeStart w:id="1"/>
      <w:r>
        <w:rPr>
          <w:rFonts w:cs="Times New Roman" w:ascii="Times New Roman" w:hAnsi="Times New Roman"/>
        </w:rPr>
        <w:t>While natural processes release heavy metals at a measurable rate, the influence of anthropogenic activities can accelerate that process in a detrimental fashion. Industrialization and exponentiating urbanization exacerbate heavy metal pollution.</w:t>
      </w:r>
      <w:r>
        <w:rPr>
          <w:rFonts w:cs="Times New Roman" w:ascii="Times New Roman" w:hAnsi="Times New Roman"/>
        </w:rPr>
      </w:r>
      <w:commentRangeEnd w:id="1"/>
      <w:r>
        <w:commentReference w:id="1"/>
      </w:r>
      <w:r>
        <w:rPr>
          <w:rFonts w:cs="Times New Roman" w:ascii="Times New Roman" w:hAnsi="Times New Roman"/>
        </w:rPr>
        <w:t xml:space="preserve"> </w:t>
      </w:r>
      <w:commentRangeStart w:id="2"/>
      <w:r>
        <w:rPr>
          <w:rFonts w:cs="Times New Roman" w:ascii="Times New Roman" w:hAnsi="Times New Roman"/>
        </w:rPr>
        <w:t>To that point, urban sewage and the formation of industrial effluent-mineral-complexes, particularly from those derived of mineral extraction, water treatments, metal molding and coating, battery technology, nuclear plant effluents and tanneries contain notable amounts of PTEs and toxicological compounds (</w:t>
      </w:r>
      <w:r>
        <w:rPr>
          <w:rFonts w:cs="Times New Roman" w:ascii="Times New Roman" w:hAnsi="Times New Roman"/>
          <w:color w:val="0070C0"/>
        </w:rPr>
        <w:t>Karvelas et al., 2003; Bhuiyan et al., 2011; Ahsan et al., 2019; Beni and Esmaeili, 2020</w:t>
      </w:r>
      <w:r>
        <w:rPr>
          <w:rFonts w:cs="Times New Roman" w:ascii="Times New Roman" w:hAnsi="Times New Roman"/>
        </w:rPr>
        <w:t>).</w:t>
      </w:r>
      <w:commentRangeEnd w:id="2"/>
      <w:r>
        <w:commentReference w:id="2"/>
      </w: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Once PTEs, specifically the heavy metals enter a river channel with active basin pedoturbation, they stabilize to become non-degradable contaminants (</w:t>
      </w:r>
      <w:r>
        <w:rPr>
          <w:rStyle w:val="InternetLink"/>
          <w:rFonts w:cs="Times New Roman" w:ascii="Times New Roman" w:hAnsi="Times New Roman"/>
          <w:color w:val="0070C0"/>
          <w:u w:val="none"/>
        </w:rPr>
        <w:t>Mokarram et al., 2020</w:t>
      </w:r>
      <w:r>
        <w:rPr>
          <w:rFonts w:cs="Times New Roman" w:ascii="Times New Roman" w:hAnsi="Times New Roman"/>
        </w:rPr>
        <w:t>). Consequently, as the heavy metals continue to accumulate in river waters, physiological problems for the health of ecosystems may ensue. These metals tend to accumulate along the food chain through bioaccumulation, and with a high residence time tend to result in chronic and acute toxic effects on aquatic fauna and human health (</w:t>
      </w:r>
      <w:r>
        <w:rPr>
          <w:rFonts w:cs="Times New Roman" w:ascii="Times New Roman" w:hAnsi="Times New Roman"/>
          <w:color w:val="0070C0"/>
        </w:rPr>
        <w:t>Tchounwou et al., 2012; Gautam et al., 2016; Jolly et al., 2023b</w:t>
      </w:r>
      <w:r>
        <w:rPr>
          <w:rFonts w:cs="Times New Roman" w:ascii="Times New Roman" w:hAnsi="Times New Roman"/>
        </w:rPr>
        <w:t xml:space="preserve">). </w:t>
      </w:r>
      <w:commentRangeStart w:id="3"/>
      <w:r>
        <w:rPr>
          <w:rFonts w:cs="Times New Roman" w:ascii="Times New Roman" w:hAnsi="Times New Roman"/>
        </w:rPr>
        <w:t>Toxic heavy metals such as Pb, Cd, Hg, Ni, Cr, Cu, Zn, and As pose significant dangers to biota. Even at low concentrations, water contaminated with the mentioned metal(loids) is deemed highly poisonous and carcinogenic (</w:t>
      </w:r>
      <w:r>
        <w:rPr>
          <w:rFonts w:cs="Times New Roman" w:ascii="Times New Roman" w:hAnsi="Times New Roman"/>
          <w:color w:val="0070C0"/>
        </w:rPr>
        <w:t>Chaturvedi et al., 2015; Gautam et al., 2016</w:t>
      </w:r>
      <w:r>
        <w:rPr>
          <w:rFonts w:cs="Times New Roman" w:ascii="Times New Roman" w:hAnsi="Times New Roman"/>
        </w:rPr>
        <w:t>).</w:t>
      </w:r>
    </w:p>
    <w:p>
      <w:pPr>
        <w:pStyle w:val="Normal"/>
        <w:spacing w:lineRule="auto" w:line="360"/>
        <w:jc w:val="both"/>
        <w:rPr>
          <w:rFonts w:ascii="Times New Roman" w:hAnsi="Times New Roman" w:cs="Times New Roman"/>
        </w:rPr>
      </w:pPr>
      <w:r>
        <w:rPr>
          <w:rFonts w:cs="Times New Roman" w:ascii="Times New Roman" w:hAnsi="Times New Roman"/>
        </w:rPr>
        <w:t>Fish populations play a crucial role in the fluvial ecology and the biodiversity in Bangladesh. But potential toxic elements (PTEs)-contaminated fish pose serious health hazards. Presence of toxic heavy metals (THMs) can cause a decline in fish populations</w:t>
      </w:r>
      <w:r>
        <w:rPr>
          <w:rFonts w:cs="Times New Roman" w:ascii="Times New Roman" w:hAnsi="Times New Roman"/>
        </w:rPr>
      </w:r>
      <w:commentRangeEnd w:id="3"/>
      <w:r>
        <w:commentReference w:id="3"/>
      </w:r>
      <w:r>
        <w:rPr>
          <w:rFonts w:cs="Times New Roman" w:ascii="Times New Roman" w:hAnsi="Times New Roman"/>
        </w:rPr>
        <w:t>. THMs have potential to act as neurotoxins and play a role in causing deformities (</w:t>
      </w:r>
      <w:r>
        <w:rPr>
          <w:rFonts w:cs="Times New Roman" w:ascii="Times New Roman" w:hAnsi="Times New Roman"/>
          <w:color w:val="0070C0"/>
        </w:rPr>
        <w:t>Tchounwou et al., 2012; Jolly et al., 2023b</w:t>
      </w:r>
      <w:r>
        <w:rPr>
          <w:rFonts w:cs="Times New Roman" w:ascii="Times New Roman" w:hAnsi="Times New Roman"/>
        </w:rPr>
        <w:t>). Furthermore, consumption is a major route of human exposure to toxic elements, particularly through diets that rely heavily on fish, making fish an important indicator for studying heavy metal pollution (</w:t>
      </w:r>
      <w:r>
        <w:rPr>
          <w:rStyle w:val="InternetLink"/>
          <w:rFonts w:cs="Times New Roman" w:ascii="Times New Roman" w:hAnsi="Times New Roman"/>
          <w:color w:val="000000" w:themeColor="text1"/>
          <w:u w:val="none"/>
        </w:rPr>
        <w:t>Ali et al., 2019</w:t>
      </w:r>
      <w:r>
        <w:rPr>
          <w:rFonts w:cs="Times New Roman" w:ascii="Times New Roman" w:hAnsi="Times New Roman"/>
        </w:rPr>
        <w:t xml:space="preserve">; </w:t>
      </w:r>
      <w:r>
        <w:rPr>
          <w:rFonts w:cs="Times New Roman" w:ascii="Times New Roman" w:hAnsi="Times New Roman"/>
          <w:color w:val="0070C0"/>
        </w:rPr>
        <w:t>Jolly et al., 2023b; Mendoza et al., 2023</w:t>
      </w:r>
      <w:r>
        <w:rPr>
          <w:rFonts w:cs="Times New Roman" w:ascii="Times New Roman" w:hAnsi="Times New Roman"/>
        </w:rPr>
        <w:t xml:space="preserve">). </w:t>
      </w:r>
    </w:p>
    <w:p>
      <w:pPr>
        <w:pStyle w:val="Normal"/>
        <w:spacing w:lineRule="auto" w:line="360"/>
        <w:jc w:val="both"/>
        <w:rPr>
          <w:rFonts w:ascii="Times New Roman" w:hAnsi="Times New Roman" w:cs="Times New Roman"/>
        </w:rPr>
      </w:pPr>
      <w:commentRangeStart w:id="4"/>
      <w:r>
        <w:rPr>
          <w:rFonts w:cs="Times New Roman" w:ascii="Times New Roman" w:hAnsi="Times New Roman"/>
        </w:rPr>
        <w:t>Fish are affected by heavy metals through genetic and enzymatic effects that lead to alterations at the structural levels of the organs, negating ideal functionality (</w:t>
      </w:r>
      <w:r>
        <w:rPr>
          <w:rFonts w:cs="Times New Roman" w:ascii="Times New Roman" w:hAnsi="Times New Roman"/>
          <w:color w:val="0070C0"/>
        </w:rPr>
        <w:t>Luczyńska et al., 2018; Mendoza et al., 2023</w:t>
      </w:r>
      <w:r>
        <w:rPr>
          <w:rFonts w:cs="Times New Roman" w:ascii="Times New Roman" w:hAnsi="Times New Roman"/>
        </w:rPr>
        <w:t>).</w:t>
      </w:r>
      <w:r>
        <w:rPr>
          <w:rFonts w:cs="Times New Roman" w:ascii="Times New Roman" w:hAnsi="Times New Roman"/>
        </w:rPr>
      </w:r>
      <w:commentRangeEnd w:id="4"/>
      <w:r>
        <w:commentReference w:id="4"/>
      </w:r>
      <w:r>
        <w:rPr>
          <w:rFonts w:cs="Times New Roman" w:ascii="Times New Roman" w:hAnsi="Times New Roman"/>
        </w:rPr>
        <w:t xml:space="preserve"> Consequently, this may affects immune responses and increases their susceptibility to potential diseases. </w:t>
      </w:r>
      <w:commentRangeStart w:id="5"/>
      <w:r>
        <w:rPr>
          <w:rFonts w:cs="Times New Roman" w:ascii="Times New Roman" w:hAnsi="Times New Roman"/>
        </w:rPr>
        <w:t>Fish have three pathways to absorb THMs through contact, their (I) epidermal surface, (ii) gills, and (iii) through ingestion (</w:t>
      </w:r>
      <w:r>
        <w:rPr>
          <w:rFonts w:cs="Times New Roman" w:ascii="Times New Roman" w:hAnsi="Times New Roman"/>
          <w:color w:val="0070C0"/>
        </w:rPr>
        <w:t xml:space="preserve">Luczyńska et al., 2018; </w:t>
      </w:r>
      <w:r>
        <w:rPr>
          <w:rStyle w:val="InternetLink"/>
          <w:rFonts w:cs="Times New Roman" w:ascii="Times New Roman" w:hAnsi="Times New Roman"/>
          <w:color w:val="0070C0"/>
          <w:u w:val="none"/>
        </w:rPr>
        <w:t>Ali et al., 2019</w:t>
      </w:r>
      <w:r>
        <w:rPr>
          <w:rFonts w:cs="Times New Roman" w:ascii="Times New Roman" w:hAnsi="Times New Roman"/>
        </w:rPr>
        <w:t xml:space="preserve">). </w:t>
      </w:r>
      <w:commentRangeStart w:id="6"/>
      <w:r>
        <w:rPr>
          <w:rFonts w:cs="Times New Roman" w:ascii="Times New Roman" w:hAnsi="Times New Roman"/>
        </w:rPr>
        <w:t>However, the inferred rate of accumulation depends on the species of THMs and the effective absorbance and surface area of the fishes’ organs, such as livers, kidneys, pyloric caeca and gills accumulating higher concentrations of these toxic materials compared to muscles</w:t>
      </w:r>
      <w:r>
        <w:rPr>
          <w:rFonts w:cs="Times New Roman" w:ascii="Times New Roman" w:hAnsi="Times New Roman"/>
        </w:rPr>
      </w:r>
      <w:commentRangeEnd w:id="6"/>
      <w:r>
        <w:commentReference w:id="6"/>
      </w:r>
      <w:r>
        <w:rPr>
          <w:rFonts w:cs="Times New Roman" w:ascii="Times New Roman" w:hAnsi="Times New Roman"/>
        </w:rPr>
        <w:t xml:space="preserve"> </w:t>
      </w:r>
      <w:r>
        <w:rPr>
          <w:rFonts w:cs="Times New Roman" w:ascii="Times New Roman" w:hAnsi="Times New Roman"/>
          <w:color w:val="0070C0"/>
        </w:rPr>
        <w:t>(Bawuro et al., 2018; Jolly et al., 2023b; Mendoza et al., 2023).</w:t>
      </w:r>
      <w:r>
        <w:rPr>
          <w:rFonts w:cs="Times New Roman" w:ascii="Times New Roman" w:hAnsi="Times New Roman"/>
          <w:color w:val="0070C0"/>
        </w:rPr>
      </w:r>
      <w:commentRangeEnd w:id="5"/>
      <w:r>
        <w:commentReference w:id="5"/>
      </w:r>
      <w:r>
        <w:rPr>
          <w:rFonts w:cs="Times New Roman" w:ascii="Times New Roman" w:hAnsi="Times New Roman"/>
        </w:rPr>
        <w:t xml:space="preserve"> Consequently, fish are often treated as a means for a rudimentary index for the freshwater systems to identify the toxic element pollution level and subsequently the hazardous impacts on human health (</w:t>
      </w:r>
      <w:r>
        <w:rPr>
          <w:rFonts w:cs="Times New Roman" w:ascii="Times New Roman" w:hAnsi="Times New Roman"/>
          <w:color w:val="0070C0"/>
        </w:rPr>
        <w:t>Swanson et al., 2012; Varol et al., 2017; Bawuro et al., 2018</w:t>
      </w:r>
      <w:r>
        <w:rPr>
          <w:rFonts w:cs="Times New Roman" w:ascii="Times New Roman" w:hAnsi="Times New Roman"/>
        </w:rPr>
        <w:t xml:space="preserve">; </w:t>
      </w:r>
      <w:r>
        <w:rPr>
          <w:rFonts w:cs="Times New Roman" w:ascii="Times New Roman" w:hAnsi="Times New Roman"/>
          <w:color w:val="0070C0"/>
        </w:rPr>
        <w:t>Luczyńska et al., 2018; Rahman et al., 2022</w:t>
      </w:r>
      <w:r>
        <w:rPr>
          <w:rFonts w:cs="Times New Roman" w:ascii="Times New Roman" w:hAnsi="Times New Roman"/>
        </w:rPr>
        <w:t xml:space="preserve">). </w:t>
      </w:r>
      <w:commentRangeStart w:id="7"/>
      <w:r>
        <w:rPr>
          <w:rFonts w:cs="Times New Roman" w:ascii="Times New Roman" w:hAnsi="Times New Roman"/>
        </w:rPr>
        <w:t>Elevated metal concentrations can cause lethal or chronic effects on fish (</w:t>
      </w:r>
      <w:r>
        <w:rPr>
          <w:rFonts w:cs="Times New Roman" w:ascii="Times New Roman" w:hAnsi="Times New Roman"/>
          <w:color w:val="0070C0"/>
        </w:rPr>
        <w:t>Luczyńska et al., 2018)</w:t>
      </w:r>
      <w:r>
        <w:rPr>
          <w:rFonts w:cs="Times New Roman" w:ascii="Times New Roman" w:hAnsi="Times New Roman"/>
        </w:rPr>
        <w:t xml:space="preserve"> and thus, indicate the contamination status of the fluvial ecosystem and influence the aquatic trophic levels through further biomagnifications (</w:t>
      </w:r>
      <w:r>
        <w:rPr>
          <w:rFonts w:cs="Times New Roman" w:ascii="Times New Roman" w:hAnsi="Times New Roman"/>
          <w:color w:val="0070C0"/>
        </w:rPr>
        <w:t>Rahman et al., 2022</w:t>
      </w:r>
      <w:r>
        <w:rPr>
          <w:rFonts w:cs="Times New Roman" w:ascii="Times New Roman" w:hAnsi="Times New Roman"/>
        </w:rPr>
        <w:t>).</w:t>
      </w:r>
      <w:r>
        <w:rPr>
          <w:rFonts w:cs="Times New Roman" w:ascii="Times New Roman" w:hAnsi="Times New Roman"/>
        </w:rPr>
      </w:r>
      <w:commentRangeEnd w:id="7"/>
      <w:r>
        <w:commentReference w:id="7"/>
      </w:r>
      <w:r>
        <w:rPr>
          <w:rFonts w:cs="Times New Roman" w:ascii="Times New Roman" w:hAnsi="Times New Roman"/>
        </w:rPr>
        <w:t xml:space="preserve"> </w:t>
      </w:r>
      <w:commentRangeStart w:id="8"/>
      <w:r>
        <w:rPr>
          <w:rFonts w:cs="Times New Roman" w:ascii="Times New Roman" w:hAnsi="Times New Roman"/>
        </w:rPr>
        <w:t xml:space="preserve">Given the diverse accumulation and amplification of metals, </w:t>
      </w:r>
      <w:commentRangeStart w:id="9"/>
      <w:r>
        <w:rPr>
          <w:rFonts w:cs="Times New Roman" w:ascii="Times New Roman" w:hAnsi="Times New Roman"/>
        </w:rPr>
        <w:t>which exhibit significant variation across fish species, and the persistent nature of contamination</w:t>
      </w:r>
      <w:r>
        <w:rPr>
          <w:rFonts w:cs="Times New Roman" w:ascii="Times New Roman" w:hAnsi="Times New Roman"/>
        </w:rPr>
      </w:r>
      <w:commentRangeEnd w:id="9"/>
      <w:r>
        <w:commentReference w:id="9"/>
      </w:r>
      <w:r>
        <w:rPr>
          <w:rFonts w:cs="Times New Roman" w:ascii="Times New Roman" w:hAnsi="Times New Roman"/>
        </w:rPr>
        <w:t>, regular monitoring of potential toxic element (PTE) levels in fish and other aquatic organisms is crucial from an environmental and food safety standpoint.</w:t>
      </w:r>
      <w:commentRangeEnd w:id="8"/>
      <w:r>
        <w:commentReference w:id="8"/>
      </w:r>
      <w:r>
        <w:rPr>
          <w:rFonts w:cs="Times New Roman" w:ascii="Times New Roman" w:hAnsi="Times New Roman"/>
        </w:rPr>
      </w:r>
    </w:p>
    <w:p>
      <w:pPr>
        <w:pStyle w:val="Normal"/>
        <w:spacing w:lineRule="auto" w:line="360"/>
        <w:jc w:val="both"/>
        <w:rPr>
          <w:rFonts w:ascii="Times New Roman" w:hAnsi="Times New Roman" w:cs="Times New Roman"/>
        </w:rPr>
      </w:pPr>
      <w:commentRangeStart w:id="10"/>
      <w:r>
        <w:rPr>
          <w:rFonts w:cs="Times New Roman" w:ascii="Times New Roman" w:hAnsi="Times New Roman"/>
        </w:rPr>
        <w:t>In addition to their role in freshwater ecosystems, fish constitute a significant dietary component for a considerable proportion of the global population (</w:t>
      </w:r>
      <w:r>
        <w:rPr>
          <w:rFonts w:cs="Times New Roman" w:ascii="Times New Roman" w:hAnsi="Times New Roman"/>
          <w:color w:val="0070C0"/>
        </w:rPr>
        <w:t>Varol et al., 2017; Luczyńska et al., 2018; Mendoza et al., 2023</w:t>
      </w:r>
      <w:r>
        <w:rPr>
          <w:rFonts w:cs="Times New Roman" w:ascii="Times New Roman" w:hAnsi="Times New Roman"/>
        </w:rPr>
        <w:t xml:space="preserve">). Their role as a vital protein source, reaching 16% of the </w:t>
      </w:r>
      <w:r>
        <w:rPr>
          <w:rFonts w:cs="Times New Roman" w:ascii="Times New Roman" w:hAnsi="Times New Roman"/>
          <w:shd w:fill="DDDDDD" w:val="clear"/>
        </w:rPr>
        <w:t>global population's</w:t>
      </w:r>
      <w:r>
        <w:rPr>
          <w:rFonts w:cs="Times New Roman" w:ascii="Times New Roman" w:hAnsi="Times New Roman"/>
        </w:rPr>
        <w:t xml:space="preserve"> non-plant intake of protein, and a major source of beneficial polyunsaturated fatty acids (</w:t>
      </w:r>
      <w:r>
        <w:rPr>
          <w:rFonts w:cs="Times New Roman" w:ascii="Times New Roman" w:hAnsi="Times New Roman"/>
          <w:color w:val="0070C0"/>
        </w:rPr>
        <w:t>Nordhagen et al., 2020; Haseeb et al., 2022</w:t>
      </w:r>
      <w:r>
        <w:rPr>
          <w:rFonts w:cs="Times New Roman" w:ascii="Times New Roman" w:hAnsi="Times New Roman"/>
        </w:rPr>
        <w:t>). It constitutes a major source of formative nutrients for the population, additionally supplying lipids and Omega-3 fatty acids (n-3 PUFAs). The inclusion of fish due to its omega-3 fatty acid content, has shown positive effects on cardiovascular function, fetal development, and in the treatment of Alzheimer's (</w:t>
      </w:r>
      <w:r>
        <w:rPr>
          <w:rFonts w:cs="Times New Roman" w:ascii="Times New Roman" w:hAnsi="Times New Roman"/>
          <w:color w:val="0070C0"/>
        </w:rPr>
        <w:t>Swanson et al., 2012; Luczyńska et al., 2018</w:t>
      </w:r>
      <w:r>
        <w:rPr>
          <w:rFonts w:cs="Times New Roman" w:ascii="Times New Roman" w:hAnsi="Times New Roman"/>
        </w:rPr>
        <w:t>).</w:t>
      </w:r>
      <w:commentRangeEnd w:id="10"/>
      <w:r>
        <w:commentReference w:id="10"/>
      </w: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The impact of bioaccumulation of heavy metals in marine and aquatic foodstuff is particularly detrimental to developing countries like Bangladesh. As fish accounts for 55% of animal protein intake at 18.1 kg consumed every year, per person (</w:t>
      </w:r>
      <w:r>
        <w:rPr>
          <w:rFonts w:cs="Times New Roman" w:ascii="Times New Roman" w:hAnsi="Times New Roman"/>
          <w:color w:val="0070C0"/>
        </w:rPr>
        <w:t>FAO, 2016</w:t>
      </w:r>
      <w:r>
        <w:rPr>
          <w:rFonts w:cs="Times New Roman" w:ascii="Times New Roman" w:hAnsi="Times New Roman"/>
        </w:rPr>
        <w:t>), thus, the discovery of epi-tolerable levels of heavy metals in fish species has raised concerns regarding the appropriateness of fish to be part of a healthy diet (</w:t>
      </w:r>
      <w:r>
        <w:rPr>
          <w:rFonts w:cs="Times New Roman" w:ascii="Times New Roman" w:hAnsi="Times New Roman"/>
          <w:color w:val="0070C0"/>
        </w:rPr>
        <w:t>Castro-González and Méndez-Armenta, 2008</w:t>
      </w:r>
      <w:r>
        <w:rPr>
          <w:rFonts w:cs="Times New Roman" w:ascii="Times New Roman" w:hAnsi="Times New Roman"/>
        </w:rPr>
        <w:t>). Fish muscle being the primary edible fraction (</w:t>
      </w:r>
      <w:r>
        <w:rPr>
          <w:rFonts w:cs="Times New Roman" w:ascii="Times New Roman" w:hAnsi="Times New Roman"/>
          <w:color w:val="0070C0"/>
        </w:rPr>
        <w:t>Bawuro et al., 2018; Luczyńska et al., 2018</w:t>
      </w:r>
      <w:r>
        <w:rPr>
          <w:rFonts w:cs="Times New Roman" w:ascii="Times New Roman" w:hAnsi="Times New Roman"/>
        </w:rPr>
        <w:t>), most studies on human exposure to these toxic elements through fish focus on the muscle accumulation of the metals (</w:t>
      </w:r>
      <w:r>
        <w:rPr>
          <w:rFonts w:cs="Times New Roman" w:ascii="Times New Roman" w:hAnsi="Times New Roman"/>
          <w:color w:val="0070C0"/>
        </w:rPr>
        <w:t>Ali et al., 2020</w:t>
      </w:r>
      <w:r>
        <w:rPr>
          <w:rFonts w:cs="Times New Roman" w:ascii="Times New Roman" w:hAnsi="Times New Roman"/>
        </w:rPr>
        <w:t xml:space="preserve">; </w:t>
      </w:r>
      <w:r>
        <w:rPr>
          <w:rFonts w:cs="Times New Roman" w:ascii="Times New Roman" w:hAnsi="Times New Roman"/>
          <w:color w:val="0070C0"/>
        </w:rPr>
        <w:t>Jolly et al., 2023b; Rahman et al., 2022</w:t>
      </w:r>
      <w:r>
        <w:rPr>
          <w:rFonts w:cs="Times New Roman" w:ascii="Times New Roman" w:hAnsi="Times New Roman"/>
        </w:rPr>
        <w:t xml:space="preserve">). </w:t>
      </w:r>
      <w:commentRangeStart w:id="11"/>
      <w:r>
        <w:rPr>
          <w:rFonts w:cs="Times New Roman" w:ascii="Times New Roman" w:hAnsi="Times New Roman"/>
        </w:rPr>
        <w:t>Consumption of fish muscles with heavy metal toxicant loading can cause various adverse effects and health concerns in humans, including the risk of cancer, pulmonary disorders, hepatic shutdown, renal damage, cardiovascular problems, immunological effects, neurological damage, and fetal development impairments (</w:t>
      </w:r>
      <w:r>
        <w:rPr>
          <w:rFonts w:cs="Times New Roman" w:ascii="Times New Roman" w:hAnsi="Times New Roman"/>
          <w:color w:val="0070C0"/>
        </w:rPr>
        <w:t xml:space="preserve">Tchounwou et al., 2012; </w:t>
      </w:r>
      <w:r>
        <w:rPr>
          <w:rFonts w:cs="Times New Roman" w:ascii="Times New Roman" w:hAnsi="Times New Roman"/>
        </w:rPr>
        <w:t>EFSA</w:t>
      </w:r>
      <w:r>
        <w:rPr>
          <w:rFonts w:cs="Times New Roman" w:ascii="Times New Roman" w:hAnsi="Times New Roman"/>
          <w:color w:val="0070C0"/>
        </w:rPr>
        <w:t>, 2014; Anyanwu et al., 2018; Mitra et al., 2022</w:t>
      </w:r>
      <w:r>
        <w:rPr>
          <w:rFonts w:cs="Times New Roman" w:ascii="Times New Roman" w:hAnsi="Times New Roman"/>
        </w:rPr>
        <w:t>).</w:t>
      </w:r>
      <w:commentRangeEnd w:id="11"/>
      <w:r>
        <w:commentReference w:id="11"/>
      </w: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t>A tributary of the Jamuna River, the Dhaleswari River, is approximately 160 km long and flows through the central subaxis of the country, originating from Tangail in the northwest. The flow bifurcates into two separate streams, one retaining the name Dhaleswari, which eventually merges with the second stream to become the Shitalakshya River in Narayanganj. This river is highly adversified by heavy metal inundation due to its proximity to Hemayetpur’s tannery industrial estate, with geographically adjacent steel mills and dyeing factory clusters (</w:t>
      </w:r>
      <w:r>
        <w:rPr>
          <w:rFonts w:cs="Times New Roman" w:ascii="Times New Roman" w:hAnsi="Times New Roman"/>
          <w:color w:val="0070C0"/>
        </w:rPr>
        <w:t>Wahiduzzaman et al., 2022</w:t>
      </w:r>
      <w:r>
        <w:rPr>
          <w:rFonts w:cs="Times New Roman" w:ascii="Times New Roman" w:hAnsi="Times New Roman"/>
        </w:rPr>
        <w:t>). Thus, it is crucial to assess the ecotoxicity and pollution effects of the site on the contingent aquatic population, whose livelihoods are severely affected by the river.</w:t>
      </w:r>
    </w:p>
    <w:p>
      <w:pPr>
        <w:pStyle w:val="Normal"/>
        <w:spacing w:lineRule="auto" w:line="360"/>
        <w:jc w:val="both"/>
        <w:rPr>
          <w:rFonts w:ascii="Times New Roman" w:hAnsi="Times New Roman" w:cs="Times New Roman"/>
        </w:rPr>
      </w:pPr>
      <w:r>
        <w:rPr>
          <w:rFonts w:cs="Times New Roman" w:ascii="Times New Roman" w:hAnsi="Times New Roman"/>
        </w:rPr>
        <w:t>In addition to evaluating the pollution status of the contaminated site, it is essential to understand the associated risks to human health and quantify the output of pollutants in order to implement effective mitigation strategies (</w:t>
      </w:r>
      <w:r>
        <w:rPr>
          <w:rFonts w:cs="Times New Roman" w:ascii="Times New Roman" w:hAnsi="Times New Roman"/>
          <w:color w:val="0070C0"/>
        </w:rPr>
        <w:t>Jolly et al., 2023b</w:t>
      </w:r>
      <w:r>
        <w:rPr>
          <w:rFonts w:cs="Times New Roman" w:ascii="Times New Roman" w:hAnsi="Times New Roman"/>
        </w:rPr>
        <w:t>). While several studies have focused on investigating the effects of heavy metal pollution on fish species in this river (</w:t>
      </w:r>
      <w:r>
        <w:rPr>
          <w:rFonts w:cs="Times New Roman" w:ascii="Times New Roman" w:hAnsi="Times New Roman"/>
          <w:color w:val="0070C0"/>
        </w:rPr>
        <w:t>Wahiduzzaman et al., 2022; Lipy et al., 2021</w:t>
      </w:r>
      <w:r>
        <w:rPr>
          <w:rFonts w:cs="Times New Roman" w:ascii="Times New Roman" w:hAnsi="Times New Roman"/>
        </w:rPr>
        <w:t>), there exists a knowledge gap regarding the human health risks associated with consuming these fish. Few studies have explored the possible sources of metals in the urban river. Finally, although extensive investigations have been carried out in the past to determine the potential origins of metal contaminants in water, sediment, and soil through various studies (</w:t>
      </w:r>
      <w:r>
        <w:rPr>
          <w:rFonts w:cs="Times New Roman" w:ascii="Times New Roman" w:hAnsi="Times New Roman"/>
          <w:color w:val="0070C0"/>
        </w:rPr>
        <w:t>Bhuiyan et al., 2011; Jolly et al., 2023a,b,c; Shorna et al., 2021</w:t>
      </w:r>
      <w:r>
        <w:rPr>
          <w:rFonts w:cs="Times New Roman" w:ascii="Times New Roman" w:hAnsi="Times New Roman"/>
        </w:rPr>
        <w:t>), the application of chemometric techniques for source apportionment in fish species remains relatively rare.</w:t>
      </w:r>
    </w:p>
    <w:p>
      <w:pPr>
        <w:pStyle w:val="Normal"/>
        <w:spacing w:lineRule="auto" w:line="360"/>
        <w:jc w:val="both"/>
        <w:rPr>
          <w:rFonts w:ascii="Times New Roman" w:hAnsi="Times New Roman" w:cs="Times New Roman"/>
          <w:sz w:val="24"/>
          <w:szCs w:val="24"/>
        </w:rPr>
      </w:pPr>
      <w:r>
        <w:rPr>
          <w:rFonts w:cs="Times New Roman" w:ascii="Times New Roman" w:hAnsi="Times New Roman"/>
        </w:rPr>
        <w:t xml:space="preserve">Consequently, this study aims to quantify the non-carcinogenic and carcinogenic risks linked to the consumption of eight commonly found fish species from the Dhaleswari River. </w:t>
      </w:r>
      <w:commentRangeStart w:id="12"/>
      <w:r>
        <w:rPr>
          <w:rFonts w:cs="Times New Roman" w:ascii="Times New Roman" w:hAnsi="Times New Roman"/>
        </w:rPr>
        <w:t>Furthermore, the study investigates whether there are significant associations between heavy metal accumulation and the presence of beneficial polyunsaturated fatty acids, particularly omega-3, in the fish species.</w:t>
      </w:r>
      <w:r>
        <w:rPr>
          <w:rFonts w:cs="Times New Roman" w:ascii="Times New Roman" w:hAnsi="Times New Roman"/>
        </w:rPr>
      </w:r>
      <w:commentRangeEnd w:id="12"/>
      <w:r>
        <w:commentReference w:id="12"/>
      </w:r>
      <w:r>
        <w:rPr>
          <w:rFonts w:cs="Times New Roman" w:ascii="Times New Roman" w:hAnsi="Times New Roman"/>
        </w:rPr>
        <w:t xml:space="preserve"> The following study employs methods of statistical multivariate analysis to identify potential sources and apportionment of heavy metal contamination in the river</w:t>
      </w: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Table: Eight species of the studied fish samples including their feeding and living habit</w:t>
      </w:r>
    </w:p>
    <w:tbl>
      <w:tblPr>
        <w:tblStyle w:val="TableGrid"/>
        <w:tblW w:w="107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5"/>
        <w:gridCol w:w="2250"/>
        <w:gridCol w:w="7020"/>
      </w:tblGrid>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Local name</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Scientific name</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commentRangeStart w:id="13"/>
            <w:r>
              <w:rPr>
                <w:rFonts w:eastAsia="Calibri" w:cs="Times New Roman" w:ascii="Times New Roman" w:hAnsi="Times New Roman"/>
                <w:kern w:val="2"/>
                <w:sz w:val="20"/>
                <w:szCs w:val="20"/>
                <w:lang w:val="en-US" w:eastAsia="en-US" w:bidi="ar-SA"/>
              </w:rPr>
              <w:t>Description of the species</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Ghagra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Clupisoma garua</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 xml:space="preserve">It is a potamodromous species of catfish of the family Schilbeidae, well distributed in Indian subcontinent rivers and freshwater reservoirs. </w:t>
            </w:r>
            <w:r>
              <w:rPr>
                <w:rFonts w:eastAsia="Calibri" w:cs="Times New Roman" w:ascii="Times New Roman" w:hAnsi="Times New Roman"/>
                <w:i/>
                <w:iCs/>
                <w:kern w:val="2"/>
                <w:sz w:val="20"/>
                <w:szCs w:val="20"/>
                <w:lang w:val="en-US" w:eastAsia="en-US" w:bidi="ar-SA"/>
              </w:rPr>
              <w:t>Clupisoma garua</w:t>
            </w:r>
            <w:r>
              <w:rPr>
                <w:rFonts w:eastAsia="Calibri" w:cs="Times New Roman" w:ascii="Times New Roman" w:hAnsi="Times New Roman"/>
                <w:kern w:val="2"/>
                <w:sz w:val="20"/>
                <w:szCs w:val="20"/>
                <w:lang w:val="en-US" w:eastAsia="en-US" w:bidi="ar-SA"/>
              </w:rPr>
              <w:t xml:space="preserve"> is herring-shaped fish, tapering gradually toward both ends and abdominal edge partly keeled between pelvic fins and vent. It falls in the category of euryphagous fish, highly carnivorous and predacious in nature, and feeds on insects, molluscs, crustaceans and small fishes in wild conditions.</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Koi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Anabas testudineus</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The climbing perch is a fish species from the family of Anabantidae, the climbing gouramis. It is native to Asia, found in Bangladesh, India, and China. It is omnivorous more inclined to carnivorous. This predatory species apparently feed on different feeding labels of waterbody, plant matter including algae and rice grains as well as smaller fishes, invertebrates, rotifers, crustaceans, insects, algae, diatoms, etc.</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Tatkini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Cirrhinus reba</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 xml:space="preserve">It's a freshwater cyprinid fish. </w:t>
            </w:r>
            <w:r>
              <w:rPr>
                <w:rFonts w:eastAsia="Calibri" w:cs="Times New Roman" w:ascii="Times New Roman" w:hAnsi="Times New Roman"/>
                <w:i/>
                <w:iCs/>
                <w:kern w:val="2"/>
                <w:sz w:val="20"/>
                <w:szCs w:val="20"/>
                <w:lang w:val="en-US" w:eastAsia="en-US" w:bidi="ar-SA"/>
              </w:rPr>
              <w:t>Cirrhinus reba</w:t>
            </w:r>
            <w:r>
              <w:rPr>
                <w:rFonts w:eastAsia="Calibri" w:cs="Times New Roman" w:ascii="Times New Roman" w:hAnsi="Times New Roman"/>
                <w:kern w:val="2"/>
                <w:sz w:val="20"/>
                <w:szCs w:val="20"/>
                <w:lang w:val="en-US" w:eastAsia="en-US" w:bidi="ar-SA"/>
              </w:rPr>
              <w:t xml:space="preserve"> is used to inhabit rivers, reservoirs and streams of Asian countries but is also found in lakes, tanks, ponds, canals, beels and inundated fields. It's an herbivorous fish that actually feeds on plant matters in aquatic environment. The finger lings of </w:t>
            </w:r>
            <w:r>
              <w:rPr>
                <w:rFonts w:eastAsia="Calibri" w:cs="Times New Roman" w:ascii="Times New Roman" w:hAnsi="Times New Roman"/>
                <w:i/>
                <w:iCs/>
                <w:kern w:val="2"/>
                <w:sz w:val="20"/>
                <w:szCs w:val="20"/>
                <w:lang w:val="en-US" w:eastAsia="en-US" w:bidi="ar-SA"/>
              </w:rPr>
              <w:t>Cirrhinus reba</w:t>
            </w:r>
            <w:r>
              <w:rPr>
                <w:rFonts w:eastAsia="Calibri" w:cs="Times New Roman" w:ascii="Times New Roman" w:hAnsi="Times New Roman"/>
                <w:kern w:val="2"/>
                <w:sz w:val="20"/>
                <w:szCs w:val="20"/>
                <w:lang w:val="en-US" w:eastAsia="en-US" w:bidi="ar-SA"/>
              </w:rPr>
              <w:t xml:space="preserve"> prefer zooplankton up to a certain length group and intended to consume plant materials in their adult stage.</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Tengra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Mystus vittatus</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i/>
                <w:iCs/>
                <w:kern w:val="2"/>
                <w:sz w:val="20"/>
                <w:szCs w:val="20"/>
                <w:lang w:val="en-US" w:eastAsia="en-US" w:bidi="ar-SA"/>
              </w:rPr>
              <w:t>Mystus vittatus</w:t>
            </w:r>
            <w:r>
              <w:rPr>
                <w:rFonts w:eastAsia="Calibri" w:cs="Times New Roman" w:ascii="Times New Roman" w:hAnsi="Times New Roman"/>
                <w:kern w:val="2"/>
                <w:sz w:val="20"/>
                <w:szCs w:val="20"/>
                <w:lang w:val="en-US" w:eastAsia="en-US" w:bidi="ar-SA"/>
              </w:rPr>
              <w:t>, the long whiskers catfish, is a species of catfish of the family Bagridae, distributed around India to the Malay archipelago. It is found in Bangladesh, India, Sri Lanka, Pakistan, Nepal, and Vietnam. It is predominately a carnivore, feeding mainly on crustaceans, molluscs, and insect larvae. Primarily a low salinity brackish water cyprinid fish that enters and lives in freshwater.</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Batashi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Neotropius atherinoides</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Belonging Siluriformes family, it's a tropical labyrinth perch well distributed across Bangladesh, Pakistan, India, Myanmar and Nepal. It is carnivorous. The juveniles feed on crustaceans, plant matter, and insects while the adults feed on zooplanktons and plant matter. It's higher diet breadth on resource use (Levins’ and Hurlbert’s) with zooplankton compared to phytoplankton and total plankton confirmed its zooplanktivore habit.</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Jatka (juvenile)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Tenualosa ilisha</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It is anadromous, migrating from the sea to freshwater riverine environments to spawn. It is distributed in rivers, tributaries and channels extending over 9,390 km</w:t>
            </w:r>
            <w:r>
              <w:rPr>
                <w:rFonts w:eastAsia="Calibri" w:cs="Times New Roman" w:ascii="Times New Roman" w:hAnsi="Times New Roman"/>
                <w:kern w:val="2"/>
                <w:sz w:val="20"/>
                <w:szCs w:val="20"/>
                <w:vertAlign w:val="superscript"/>
                <w:lang w:val="en-US" w:eastAsia="en-US" w:bidi="ar-SA"/>
              </w:rPr>
              <w:t>2</w:t>
            </w:r>
            <w:r>
              <w:rPr>
                <w:rFonts w:eastAsia="Calibri" w:cs="Times New Roman" w:ascii="Times New Roman" w:hAnsi="Times New Roman"/>
                <w:kern w:val="2"/>
                <w:sz w:val="20"/>
                <w:szCs w:val="20"/>
                <w:lang w:val="en-US" w:eastAsia="en-US" w:bidi="ar-SA"/>
              </w:rPr>
              <w:t xml:space="preserve"> as well as in the 118,813 km</w:t>
            </w:r>
            <w:r>
              <w:rPr>
                <w:rFonts w:eastAsia="Calibri" w:cs="Times New Roman" w:ascii="Times New Roman" w:hAnsi="Times New Roman"/>
                <w:kern w:val="2"/>
                <w:sz w:val="20"/>
                <w:szCs w:val="20"/>
                <w:vertAlign w:val="superscript"/>
                <w:lang w:val="en-US" w:eastAsia="en-US" w:bidi="ar-SA"/>
              </w:rPr>
              <w:t>2</w:t>
            </w:r>
            <w:r>
              <w:rPr>
                <w:rFonts w:eastAsia="Calibri" w:cs="Times New Roman" w:ascii="Times New Roman" w:hAnsi="Times New Roman"/>
                <w:kern w:val="2"/>
                <w:sz w:val="20"/>
                <w:szCs w:val="20"/>
                <w:lang w:val="en-US" w:eastAsia="en-US" w:bidi="ar-SA"/>
              </w:rPr>
              <w:t xml:space="preserve"> area of the northern Bay of Bengal.  Jatka (juvenile) mainly feed on phytoplankton with a small quantity of zooplankton. It also consumes copepods including detritus, algae, mysis, molluscan larvae etc.</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Rani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Botia Dario</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Belonging loach family Botiidae, Rani fish can be found in the creeks and streams of the northern and eastern regions of Bangladesh (bordering India and Myanmar, respectively). The fish most likely populates the streams that supply the Bengal section of the Ganges River. It is a carni-omnivorous and bottom feeder fish having a preference for animal materials over plant materials. It also consumes mosquito larvae, tubifex, daphnia, and some vegetable foods such as algae wafers.</w:t>
            </w:r>
          </w:p>
        </w:tc>
      </w:tr>
      <w:tr>
        <w:trPr/>
        <w:tc>
          <w:tcPr>
            <w:tcW w:w="1525"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Chanda fish</w:t>
            </w:r>
          </w:p>
        </w:tc>
        <w:tc>
          <w:tcPr>
            <w:tcW w:w="2250" w:type="dxa"/>
            <w:tcBorders/>
          </w:tcPr>
          <w:p>
            <w:pPr>
              <w:pStyle w:val="Normal"/>
              <w:widowControl w:val="false"/>
              <w:suppressAutoHyphens w:val="true"/>
              <w:spacing w:lineRule="auto" w:line="360" w:before="0" w:after="0"/>
              <w:jc w:val="left"/>
              <w:rPr>
                <w:rFonts w:ascii="Times New Roman" w:hAnsi="Times New Roman" w:cs="Times New Roman"/>
                <w:i/>
                <w:i/>
                <w:iCs/>
                <w:sz w:val="20"/>
                <w:szCs w:val="20"/>
              </w:rPr>
            </w:pPr>
            <w:r>
              <w:rPr>
                <w:rFonts w:eastAsia="Calibri" w:cs="Times New Roman" w:ascii="Times New Roman" w:hAnsi="Times New Roman"/>
                <w:i/>
                <w:iCs/>
                <w:kern w:val="2"/>
                <w:sz w:val="20"/>
                <w:szCs w:val="20"/>
                <w:lang w:val="en-US" w:eastAsia="en-US" w:bidi="ar-SA"/>
              </w:rPr>
              <w:t>Pseudambassis ranga</w:t>
            </w:r>
          </w:p>
        </w:tc>
        <w:tc>
          <w:tcPr>
            <w:tcW w:w="7020" w:type="dxa"/>
            <w:tcBorders/>
          </w:tcPr>
          <w:p>
            <w:pPr>
              <w:pStyle w:val="Normal"/>
              <w:widowControl w:val="false"/>
              <w:suppressAutoHyphens w:val="true"/>
              <w:spacing w:lineRule="auto" w:line="360" w:before="0" w:after="0"/>
              <w:jc w:val="left"/>
              <w:rPr>
                <w:rFonts w:ascii="Times New Roman" w:hAnsi="Times New Roman" w:cs="Times New Roman"/>
                <w:sz w:val="20"/>
                <w:szCs w:val="20"/>
              </w:rPr>
            </w:pPr>
            <w:r>
              <w:rPr>
                <w:rFonts w:eastAsia="Calibri" w:cs="Times New Roman" w:ascii="Times New Roman" w:hAnsi="Times New Roman"/>
                <w:kern w:val="2"/>
                <w:sz w:val="20"/>
                <w:szCs w:val="20"/>
                <w:lang w:val="en-US" w:eastAsia="en-US" w:bidi="ar-SA"/>
              </w:rPr>
              <w:t>The elongate glassy perchlet is a species of freshwater fish in the Asian glassfish family. The species are carnivores and feed on mosquito larvae and worms and eat the scales of other fishes (lepidophagy); the species may have potential use in controlling malaria and parasites.</w:t>
            </w:r>
            <w:commentRangeEnd w:id="13"/>
            <w:r>
              <w:commentReference w:id="13"/>
            </w:r>
            <w:r>
              <w:rPr>
                <w:rFonts w:eastAsia="Calibri" w:cs="Times New Roman" w:ascii="Times New Roman" w:hAnsi="Times New Roman"/>
                <w:kern w:val="2"/>
                <w:sz w:val="20"/>
                <w:szCs w:val="20"/>
                <w:lang w:val="en-US" w:eastAsia="en-US" w:bidi="ar-SA"/>
              </w:rPr>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160"/>
        <w:jc w:val="both"/>
        <w:rPr>
          <w:rFonts w:ascii="Times New Roman" w:hAnsi="Times New Roman" w:cs="Times New Roman"/>
          <w:sz w:val="24"/>
          <w:szCs w:val="24"/>
        </w:rPr>
      </w:pPr>
      <w:r>
        <w:rPr/>
      </w:r>
    </w:p>
    <w:sectPr>
      <w:type w:val="nextPage"/>
      <w:pgSz w:w="12240" w:h="15840"/>
      <w:pgMar w:left="864" w:right="864" w:gutter="0" w:header="0" w:top="1080" w:footer="0" w:bottom="108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7-02T23:00:05Z" w:initials="">
    <w:p>
      <w:r>
        <w:rPr>
          <w:rFonts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val="en-US" w:bidi="ar-SA" w:eastAsia="en-US"/>
        </w:rPr>
        <w:t>This line can be expressed in word “foodchain”</w:t>
      </w:r>
    </w:p>
  </w:comment>
  <w:comment w:id="1" w:author="Unknown Author" w:date="2023-07-02T23:02: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Should describe shortly</w:t>
      </w:r>
    </w:p>
  </w:comment>
  <w:comment w:id="2" w:author="Unknown Author" w:date="2023-07-03T13:42:2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We should write this one shortly focusing on our country’s PTE sources.</w:t>
      </w:r>
    </w:p>
  </w:comment>
  <w:comment w:id="3" w:author="Unknown Author" w:date="2023-07-02T23:06:0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We should write this para shortly</w:t>
      </w:r>
    </w:p>
  </w:comment>
  <w:comment w:id="4" w:author="Unknown Author" w:date="2023-07-02T23:10:1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It creates more focus on fishes health than human</w:t>
      </w:r>
    </w:p>
  </w:comment>
  <w:comment w:id="6" w:author="Unknown Author" w:date="2023-07-02T23:31:5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Too much attention to fish</w:t>
      </w:r>
    </w:p>
  </w:comment>
  <w:comment w:id="5" w:author="Unknown Author" w:date="2023-07-02T23:11:3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should be short</w:t>
      </w:r>
    </w:p>
    <w:p>
      <w:r>
        <w:rPr>
          <w:rFonts w:ascii="Liberation Serif" w:hAnsi="Liberation Serif" w:eastAsia="DejaVu Sans" w:cs="Noto Naskh Arabic"/>
          <w:kern w:val="0"/>
          <w:sz w:val="24"/>
          <w:szCs w:val="24"/>
          <w:lang w:val="en-US" w:eastAsia="en-US" w:bidi="en-US"/>
        </w:rPr>
      </w:r>
    </w:p>
  </w:comment>
  <w:comment w:id="7" w:author="Unknown Author" w:date="2023-07-02T23:32:5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Should be short</w:t>
      </w:r>
    </w:p>
    <w:p>
      <w:r>
        <w:rPr>
          <w:rFonts w:ascii="Liberation Serif" w:hAnsi="Liberation Serif" w:eastAsia="DejaVu Sans" w:cs="Noto Naskh Arabic"/>
          <w:kern w:val="0"/>
          <w:sz w:val="24"/>
          <w:szCs w:val="24"/>
          <w:lang w:val="en-US" w:eastAsia="en-US" w:bidi="en-US"/>
        </w:rPr>
      </w:r>
    </w:p>
  </w:comment>
  <w:comment w:id="9" w:author="Unknown Author" w:date="2023-07-02T23:34:3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Unnecessary portion</w:t>
      </w:r>
    </w:p>
  </w:comment>
  <w:comment w:id="8" w:author="Unknown Author" w:date="2023-07-02T23:33:5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rPr>
        <w:t>Should be short and the words that making fish in focus should be removed</w:t>
      </w:r>
    </w:p>
  </w:comment>
  <w:comment w:id="10" w:author="Unknown Author" w:date="2023-07-03T13:28:1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This portion has too much info about fish benefit as a meal, omega and protein portion should be mentioned, others don’t needed..</w:t>
      </w:r>
    </w:p>
  </w:comment>
  <w:comment w:id="11" w:author="Unknown Author" w:date="2023-07-03T13:30:2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We can say “carcinogenic and non carcinogenic human health risk” rather than cancer risk, pulmonary disorders and so on</w:t>
      </w:r>
    </w:p>
  </w:comment>
  <w:comment w:id="12" w:author="Unknown Author" w:date="2023-07-03T13:34:5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Does our investigation focus on finding correlation of HM with Omega-3, if yes, then this line ok, but if no, then this line is focusing more in correlation of HM with Omega-3</w:t>
      </w:r>
    </w:p>
  </w:comment>
  <w:comment w:id="13" w:author="Unknown Author" w:date="2023-07-03T13:39: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Do we need all this information?</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en-US" w:eastAsia="en-US" w:bidi="ar-SA"/>
          <w14:ligatures w14:val="standardContextual"/>
        </w:rPr>
        <w:t>If no, then description should be short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b7481"/>
    <w:rPr>
      <w:color w:val="0563C1" w:themeColor="hyperlink"/>
      <w:u w:val="single"/>
    </w:rPr>
  </w:style>
  <w:style w:type="character" w:styleId="UnresolvedMention">
    <w:name w:val="Unresolved Mention"/>
    <w:basedOn w:val="DefaultParagraphFont"/>
    <w:uiPriority w:val="99"/>
    <w:semiHidden/>
    <w:unhideWhenUsed/>
    <w:qFormat/>
    <w:rsid w:val="008b748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19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2407D-3AE8-455B-90ED-67576F1E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Application>LibreOffice/7.3.7.2$Linux_X86_64 LibreOffice_project/30$Build-2</Application>
  <AppVersion>15.0000</AppVersion>
  <Pages>4</Pages>
  <Words>2015</Words>
  <Characters>11480</Characters>
  <CharactersWithSpaces>13456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2023-06-28T10:49:00Z</dcterms:created>
  <dc:creator>Arafat Rahman</dc:creator>
  <dc:description/>
  <dc:language>en-US</dc:language>
  <cp:lastModifiedBy/>
  <dcterms:modified xsi:type="dcterms:W3CDTF">2023-07-03T13:47:36Z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