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E833C">
      <w:pPr>
        <w:pStyle w:val="9"/>
        <w:spacing w:before="0" w:beforeAutospacing="0" w:after="0" w:afterAutospacing="0" w:line="360" w:lineRule="auto"/>
        <w:jc w:val="both"/>
        <w:textAlignment w:val="baseline"/>
        <w:rPr>
          <w:rStyle w:val="10"/>
        </w:rPr>
      </w:pPr>
      <w:r>
        <w:rPr>
          <w:rStyle w:val="10"/>
        </w:rPr>
        <w:t>Results And Discussion</w:t>
      </w:r>
    </w:p>
    <w:p w14:paraId="5328BFC8">
      <w:pPr>
        <w:pStyle w:val="9"/>
        <w:spacing w:before="0" w:beforeAutospacing="0" w:after="0" w:afterAutospacing="0" w:line="360" w:lineRule="auto"/>
        <w:jc w:val="both"/>
        <w:textAlignment w:val="baseline"/>
        <w:rPr>
          <w:rStyle w:val="11"/>
        </w:rPr>
      </w:pPr>
      <w:r>
        <w:rPr>
          <w:rStyle w:val="10"/>
        </w:rPr>
        <w:t>3.1 Soil Organic Carbon Dynamics and Environmental Relationships</w:t>
      </w:r>
      <w:r>
        <w:rPr>
          <w:rStyle w:val="11"/>
        </w:rPr>
        <w:t> 2025</w:t>
      </w:r>
    </w:p>
    <w:p w14:paraId="65FC3F88">
      <w:pPr>
        <w:pStyle w:val="9"/>
        <w:spacing w:before="0" w:beforeAutospacing="0" w:after="0" w:afterAutospacing="0" w:line="360" w:lineRule="auto"/>
        <w:jc w:val="both"/>
        <w:textAlignment w:val="baseline"/>
      </w:pPr>
      <w:r>
        <w:t>Soil property comparison between 1985 and 2025 revealed complex patterns of SOC change that varied substantially among locations and land use types. Remarkably, all nine sampling locations exhibited almost stable with no significant change in SOC concentrations in both time periods.</w:t>
      </w:r>
    </w:p>
    <w:p w14:paraId="499047DB">
      <w:pPr>
        <w:pStyle w:val="9"/>
        <w:spacing w:before="0" w:beforeAutospacing="0" w:after="0" w:afterAutospacing="0" w:line="360" w:lineRule="auto"/>
        <w:jc w:val="both"/>
        <w:textAlignment w:val="baseline"/>
      </w:pPr>
      <w:r>
        <w:br w:type="textWrapping"/>
      </w:r>
      <w:r>
        <w:t>In 2025, SOC% values ranging from 0.635% (Phagu) to 2.630% (Ajmiriganj) and stocks from 57.75 Mg ha⁻¹ (Sarail) to 122.69 Mg ha⁻¹ (Ajmiriganj). Irrigated Boro-fallow rotation (Ajmiriganj) had the highest SOC stocks (122.69 Mg ha⁻¹, SOC% = 2.630%). It significantly exceeded values observed in areas with simpler Boro-fallow systems or rabi crop cultivation (45.21 Mg ha⁻¹, Goainghat). This is in line with results reported in Asian rice paddies, where the combination of continuous flooding and input of OM derived from rice straw/fodder also promoted SOC sequestration.</w:t>
      </w:r>
    </w:p>
    <w:p w14:paraId="6AF42EE0">
      <w:pPr>
        <w:pStyle w:val="9"/>
        <w:spacing w:before="0" w:beforeAutospacing="0" w:after="0" w:afterAutospacing="0" w:line="360" w:lineRule="auto"/>
        <w:jc w:val="both"/>
        <w:textAlignment w:val="baseline"/>
        <w:rPr>
          <w:rStyle w:val="10"/>
        </w:rPr>
      </w:pPr>
      <w:r>
        <w:rPr>
          <w:rStyle w:val="10"/>
        </w:rPr>
        <w:t> </w:t>
      </w:r>
    </w:p>
    <w:p w14:paraId="082DE8D6">
      <w:pPr>
        <w:pStyle w:val="9"/>
        <w:spacing w:before="0" w:beforeAutospacing="0" w:after="0" w:afterAutospacing="0" w:line="360" w:lineRule="auto"/>
        <w:jc w:val="both"/>
        <w:textAlignment w:val="baseline"/>
        <w:rPr>
          <w:rStyle w:val="10"/>
        </w:rPr>
      </w:pPr>
      <w:r>
        <w:t>Terchibari had the highest clay content (72.20%). It also maintained substantial SOC despite relatively moderate inputs. It describes the importance of soil texture in carbon stabilization. Clay content of Sulla was 31.69% and  Hakaluki was 33.56%. They showed lower SOC stocks despite receiving organic matter inputs. </w:t>
      </w:r>
      <w:r>
        <w:br w:type="textWrapping"/>
      </w:r>
      <w:r>
        <w:br w:type="textWrapping"/>
      </w:r>
      <w:r>
        <w:t>Soil bulk density (SBD) values ranged from 1.25 g cm⁻³ (Terchibari) to 2.05 g cm⁻³ (Balaganj). SBD shows inverse relationships with clay content and positive associations with intensive agricultural management. Intensively cultivated areas with higher SBD values may result in soil compaction from mechanized operations and reduced structural stability due to drainage (Lal, 2004).</w:t>
      </w:r>
    </w:p>
    <w:p w14:paraId="644A0BA4">
      <w:pPr>
        <w:pStyle w:val="9"/>
        <w:spacing w:before="0" w:beforeAutospacing="0" w:after="0" w:afterAutospacing="0" w:line="360" w:lineRule="auto"/>
        <w:jc w:val="both"/>
        <w:textAlignment w:val="baseline"/>
        <w:rPr>
          <w:rStyle w:val="10"/>
        </w:rPr>
      </w:pPr>
      <w:r>
        <w:rPr>
          <w:rStyle w:val="10"/>
        </w:rPr>
        <w:t xml:space="preserve">Cation exchange capacity (CEC) varied from 167.48 to 325.00 cmol(+) kg⁻¹, exhibiting strong positive relationships with clay content (r = 0.89) as expected from the dominance of clay minerals in determining exchange site density. The high CEC values across all locations indicate substantial capacity for nutrient retention, a critical ecosystem service of wetland soils (Richardson &amp; Vepraskas, 2001). Terchibari, with maximum CEC (325.00 cmol(+) kg⁻¹), demonstrates the synergistic effects of high clay content and organic matter accumulation on soil chemical fertility. </w:t>
      </w:r>
    </w:p>
    <w:p w14:paraId="07AD91BC">
      <w:pPr>
        <w:pStyle w:val="9"/>
        <w:spacing w:before="0" w:beforeAutospacing="0" w:after="0" w:afterAutospacing="0" w:line="360" w:lineRule="auto"/>
        <w:jc w:val="both"/>
        <w:textAlignment w:val="baseline"/>
        <w:rPr>
          <w:rStyle w:val="10"/>
        </w:rPr>
      </w:pPr>
    </w:p>
    <w:p w14:paraId="28BC9624">
      <w:pPr>
        <w:pStyle w:val="9"/>
        <w:spacing w:before="0" w:beforeAutospacing="0" w:after="0" w:afterAutospacing="0" w:line="360" w:lineRule="auto"/>
        <w:jc w:val="both"/>
        <w:textAlignment w:val="baseline"/>
        <w:rPr>
          <w:rStyle w:val="11"/>
        </w:rPr>
      </w:pPr>
      <w:r>
        <w:rPr>
          <w:rStyle w:val="10"/>
        </w:rPr>
        <w:t>Cation exchange capacity (CEC) varied from 167.48 to 325 cmol(+) kg⁻¹, and clay content from 31.69% to 72.20%. The total soil carbon stock ranged from 192.5 to 702.24 Mg ha⁻¹, peaking at Ajmiriganj and reaching its minimum at Phagu. Areas with high SOC and clay content also recorded higher carbon stock and lower bulk density, underscoring the role of fine mineral fractions in organic matter stabilization.</w:t>
      </w:r>
      <w:r>
        <w:rPr>
          <w:rStyle w:val="11"/>
        </w:rPr>
        <w:t> </w:t>
      </w:r>
    </w:p>
    <w:p w14:paraId="65D8A96F">
      <w:pPr>
        <w:pStyle w:val="9"/>
        <w:spacing w:before="0" w:beforeAutospacing="0" w:after="0" w:afterAutospacing="0" w:line="360" w:lineRule="auto"/>
        <w:jc w:val="both"/>
        <w:textAlignment w:val="baseline"/>
        <w:rPr>
          <w:rStyle w:val="10"/>
        </w:rPr>
      </w:pPr>
    </w:p>
    <w:p w14:paraId="43E8F6AB">
      <w:pPr>
        <w:pStyle w:val="9"/>
        <w:spacing w:before="0" w:beforeAutospacing="0" w:after="0" w:afterAutospacing="0" w:line="360" w:lineRule="auto"/>
        <w:jc w:val="both"/>
        <w:textAlignment w:val="baseline"/>
        <w:rPr>
          <w:rStyle w:val="10"/>
        </w:rPr>
      </w:pPr>
      <w:r>
        <w:rPr>
          <w:rStyle w:val="10"/>
        </w:rPr>
        <w:t xml:space="preserve">The soils were moderately to strongly acidic, with pH values between 4.02 and 5.86, characteristic of prolonged waterlogging and leaching typical of wetland ecosystems. Total nitrogen (TN) concentrations varied between 0.10% and 0.15%, indicating a strong biogeochemical linkage between carbon and nitrogen pools. </w:t>
      </w:r>
    </w:p>
    <w:p w14:paraId="5B4BD4D0">
      <w:pPr>
        <w:pStyle w:val="9"/>
        <w:spacing w:before="0" w:beforeAutospacing="0" w:after="0" w:afterAutospacing="0" w:line="360" w:lineRule="auto"/>
        <w:jc w:val="both"/>
        <w:textAlignment w:val="baseline"/>
        <w:rPr>
          <w:rStyle w:val="10"/>
        </w:rPr>
      </w:pPr>
    </w:p>
    <w:p w14:paraId="28E93D2A">
      <w:pPr>
        <w:pStyle w:val="9"/>
        <w:spacing w:before="0" w:beforeAutospacing="0" w:after="0" w:afterAutospacing="0" w:line="360" w:lineRule="auto"/>
        <w:jc w:val="both"/>
        <w:textAlignment w:val="baseline"/>
      </w:pPr>
      <w:r>
        <w:t>Several locations exhibited noticeable increases in SOC%, while others showed reductions, although none of the decreases appear to be abrupt enough to indicate substantial SOC loss at the landscape scale. Ajmiriganj showed the most pronounced increase in SOC, rising from 1.23% in 1985 to 2.63% in 2025, consistent with the enhanced carbon input and reduced mineralization typically observed in irrigated paddy systems (Pan et al., 2004). Similar moderate increases were recorded at Balaganj (0.575% to 0.96%) and Goainghat (0.885% to 1.10%), suggesting improved organic matter retention or management intensification over the 40-year period. Sulla showed a nearly stable SOC trend, decreasing only marginally from 1.445% to 1.425%. In contrast, several locations exhibited declines in SOC%. Hakaluki experienced the largest reduction, dropping from 7.01% to 1.325%, likely reflecting major hydrological alteration or drainage-induced oxidation of organic soils—patterns well documented in wetland conversion studies (Lal, 2004). Substantial declines were also observed in Sarail (4.295% to 1.035%), Terchibari (3.255% to 1.14%), and Phagu (1.775% to 0.635%), all indicative of shifts in land use, reduced vegetation inputs, or soil disturbance. Kanairghat showed a moderate decline from 1.63% to 1.22%, although it still retained relatively high SOC compared with other upland sites. Despite the variability among locations, the overall pattern indicates that no site exhibited an abrupt or significant depletion of SOC that would suggest widespread soil degradation, and several locations demonstrated clear improvement. Taken collectively, the mixed but balanced pattern of increases and decreases suggests that SOC content across the study area remained broadly stable over the four decades, with local dynamics largely controlled by specific land-use and hydrological histories. This stability aligns with the tendency of SOC in managed agroecosystems to reach new equilibrium levels over long-term management cycles (Six et al., 2002).</w:t>
      </w:r>
    </w:p>
    <w:p w14:paraId="1FD9DC3F">
      <w:pPr>
        <w:pStyle w:val="9"/>
        <w:spacing w:before="0" w:beforeAutospacing="0" w:after="0" w:afterAutospacing="0" w:line="360" w:lineRule="auto"/>
        <w:jc w:val="center"/>
        <w:textAlignment w:val="baseline"/>
      </w:pPr>
      <w:r>
        <w:rPr>
          <w:rStyle w:val="11"/>
        </w:rPr>
        <w:t> </w:t>
      </w:r>
    </w:p>
    <w:p w14:paraId="03E327E5">
      <w:pPr>
        <w:pStyle w:val="9"/>
        <w:spacing w:before="0" w:beforeAutospacing="0" w:after="0" w:afterAutospacing="0" w:line="360" w:lineRule="auto"/>
        <w:jc w:val="both"/>
        <w:textAlignment w:val="baseline"/>
        <w:rPr>
          <w:color w:val="0F4761"/>
        </w:rPr>
      </w:pPr>
      <w:r>
        <w:rPr>
          <w:rStyle w:val="10"/>
          <w:highlight w:val="yellow"/>
        </w:rPr>
        <w:t>3.2 Land Use and Land Cover Transformations</w:t>
      </w:r>
      <w:r>
        <w:rPr>
          <w:rStyle w:val="11"/>
        </w:rPr>
        <w:t> </w:t>
      </w:r>
    </w:p>
    <w:p w14:paraId="3C7E28D9">
      <w:pPr>
        <w:pStyle w:val="9"/>
        <w:spacing w:before="0" w:beforeAutospacing="0" w:after="0" w:afterAutospacing="0" w:line="360" w:lineRule="auto"/>
        <w:jc w:val="both"/>
        <w:textAlignment w:val="baseline"/>
        <w:rPr>
          <w:color w:val="0F4761"/>
        </w:rPr>
      </w:pPr>
      <w:r>
        <w:rPr>
          <w:rStyle w:val="10"/>
        </w:rPr>
        <w:t>Regional LULC Changes (2017-2024)</w:t>
      </w:r>
      <w:r>
        <w:rPr>
          <w:rStyle w:val="11"/>
        </w:rPr>
        <w:t> </w:t>
      </w:r>
    </w:p>
    <w:p w14:paraId="4EF1F090">
      <w:pPr>
        <w:pStyle w:val="9"/>
        <w:spacing w:after="0" w:line="360" w:lineRule="auto"/>
        <w:jc w:val="both"/>
        <w:textAlignment w:val="baseline"/>
      </w:pPr>
      <w:r>
        <w:t>The changes in land use and land cover in the study area from 2017 to 2024 show changes haor region's . Permanent and semi-permanent water bodies expanded by 1.47 × 10⁸ m² (14,700 ha; +8.2%). It reflects a trend that contrasts with the wetland loss typically documented across overall Bangladesh (Rahman et al., 2018). This rise may be because of hydrological alterations, variations in monsoon rain, chnages in water management infrastructure, or the transformation of seasonally flooded regions into more permanent submerged areas due to water retention for extended period of time. In contrast, flood-prone areas decreased by 2.91 × 10⁸ m² (29,100 ha; –16.3%) indicating a contraction in the spatial extent of seasonal inundation. Such reduction has important implications for SOC preservation. Seasonal flooding is known to create anaerobic soil environments that slow organic matter decomposition and enhance long-term carbon storage (Mitsch et al., 2013). Similarly, flooded vegetation declined by 8.45 × 10⁷ m² (8,450 ha; –4.7%) which suggest disruptions in the timing, depth, or duration of monsoon floodingIt is potentially resulting from upstream water diversions, sedimentation processes, or channel modifications within the basin (Rahman &amp; Salehin, 2013). Vegetation cover increased by 1.82 × 10⁸ m² (18,200 ha; +10.2%) through agricultural intensification and it’s largely replacing flood-prone zones. By increasing built-up areas by 2.24 × 10² m² (2,240 hectares; +12.5%), urban expansion also played a role in changing the environment. According to Dewan and Yamaguchi (2009), it is in line with the continuous regional urbanization patterns seen throughout northeastern Bangladesh.</w:t>
      </w:r>
    </w:p>
    <w:p w14:paraId="635348C0">
      <w:pPr>
        <w:pStyle w:val="9"/>
        <w:spacing w:before="0" w:beforeAutospacing="0" w:after="0" w:afterAutospacing="0" w:line="360" w:lineRule="auto"/>
        <w:jc w:val="both"/>
        <w:textAlignment w:val="baseline"/>
        <w:rPr>
          <w:rStyle w:val="10"/>
        </w:rPr>
      </w:pPr>
    </w:p>
    <w:p w14:paraId="32A69516">
      <w:pPr>
        <w:pStyle w:val="9"/>
        <w:spacing w:before="0" w:beforeAutospacing="0" w:after="0" w:afterAutospacing="0" w:line="360" w:lineRule="auto"/>
        <w:jc w:val="both"/>
        <w:textAlignment w:val="baseline"/>
        <w:rPr>
          <w:color w:val="0F4761"/>
        </w:rPr>
      </w:pPr>
      <w:r>
        <w:rPr>
          <w:rStyle w:val="10"/>
        </w:rPr>
        <w:t>3.3. Local-Scale LULC Changes at Soil Sampling Locations</w:t>
      </w:r>
      <w:r>
        <w:rPr>
          <w:rStyle w:val="11"/>
        </w:rPr>
        <w:t> </w:t>
      </w:r>
    </w:p>
    <w:p w14:paraId="692588F0">
      <w:pPr>
        <w:pStyle w:val="9"/>
        <w:spacing w:line="360" w:lineRule="auto"/>
        <w:jc w:val="both"/>
        <w:textAlignment w:val="baseline"/>
      </w:pPr>
      <w:r>
        <w:t xml:space="preserve">Buffer-based analysis of the nine soil sampling locations indicated significant spatial variation in land use and land cover change patterns, demonstrating varied trajectories of landscape transformation throughout the Haor basin. </w:t>
      </w:r>
    </w:p>
    <w:p w14:paraId="45CEF0A9">
      <w:pPr>
        <w:pStyle w:val="9"/>
        <w:spacing w:before="0" w:beforeAutospacing="0" w:after="0" w:afterAutospacing="0" w:line="360" w:lineRule="auto"/>
        <w:jc w:val="both"/>
        <w:textAlignment w:val="baseline"/>
        <w:rPr>
          <w:rStyle w:val="10"/>
        </w:rPr>
      </w:pPr>
      <w:r>
        <w:rPr>
          <w:rStyle w:val="10"/>
        </w:rPr>
        <w:t>Water area changes within 500-meter buffers ranged from -15,600 m² to +31,200 m², with five locations experiencing </w:t>
      </w:r>
      <w:r>
        <w:rPr>
          <w:rStyle w:val="10"/>
          <w:shd w:val="clear" w:color="auto" w:fill="FFFF00"/>
        </w:rPr>
        <w:t>net water area gains and four showing losses.</w:t>
      </w:r>
      <w:r>
        <w:rPr>
          <w:rStyle w:val="10"/>
        </w:rPr>
        <w:t xml:space="preserve"> The largest </w:t>
      </w:r>
      <w:r>
        <w:rPr>
          <w:rStyle w:val="10"/>
          <w:highlight w:val="green"/>
        </w:rPr>
        <w:t>water area</w:t>
      </w:r>
      <w:r>
        <w:rPr>
          <w:rStyle w:val="10"/>
        </w:rPr>
        <w:t xml:space="preserve"> increase occurred at </w:t>
      </w:r>
      <w:r>
        <w:rPr>
          <w:rStyle w:val="10"/>
          <w:shd w:val="clear" w:color="auto" w:fill="FFFF00"/>
        </w:rPr>
        <w:t>Sulla (+31,200 m²),</w:t>
      </w:r>
      <w:r>
        <w:rPr>
          <w:rStyle w:val="10"/>
        </w:rPr>
        <w:t> while </w:t>
      </w:r>
      <w:r>
        <w:rPr>
          <w:rStyle w:val="10"/>
          <w:shd w:val="clear" w:color="auto" w:fill="FFFF00"/>
        </w:rPr>
        <w:t>Balaganj exhibited the greatest decrease (-15,600 m²),</w:t>
      </w:r>
      <w:r>
        <w:rPr>
          <w:rStyle w:val="10"/>
        </w:rPr>
        <w:t> suggesting localized differences in hydrology management or landscape position effects. </w:t>
      </w:r>
      <w:r>
        <w:rPr>
          <w:rStyle w:val="10"/>
          <w:highlight w:val="green"/>
        </w:rPr>
        <w:t>Flooded vegetation area changes</w:t>
      </w:r>
      <w:r>
        <w:rPr>
          <w:rStyle w:val="10"/>
        </w:rPr>
        <w:t xml:space="preserve"> were predominantly negative across locations, ranging from -24,800 m² to +8,900 m², </w:t>
      </w:r>
      <w:r>
        <w:rPr>
          <w:rStyle w:val="10"/>
          <w:shd w:val="clear" w:color="auto" w:fill="FFFF00"/>
        </w:rPr>
        <w:t>with seven of nine sites showing net losses.</w:t>
      </w:r>
      <w:r>
        <w:rPr>
          <w:rStyle w:val="10"/>
        </w:rPr>
        <w:t> This pattern indicates widespread reduction in the </w:t>
      </w:r>
      <w:r>
        <w:rPr>
          <w:rStyle w:val="10"/>
          <w:shd w:val="clear" w:color="auto" w:fill="FFFF00"/>
        </w:rPr>
        <w:t>characteristic flooded vegetation communities that provide critical ecosystem services including nutrient retention, sediment stabilization, and organic matter production (Keddy, 2010).</w:t>
      </w:r>
      <w:r>
        <w:rPr>
          <w:rStyle w:val="10"/>
        </w:rPr>
        <w:t> The largest losses occurred at </w:t>
      </w:r>
      <w:r>
        <w:rPr>
          <w:rStyle w:val="10"/>
          <w:shd w:val="clear" w:color="auto" w:fill="FF0000"/>
        </w:rPr>
        <w:t>Terchibari (-24,800 m²) and Ajmiriganj (-23,400 m²)</w:t>
      </w:r>
      <w:r>
        <w:rPr>
          <w:rStyle w:val="10"/>
        </w:rPr>
        <w:t>, both of which are situated in areas experiencing intensive agricultural development. </w:t>
      </w:r>
      <w:r>
        <w:rPr>
          <w:rStyle w:val="10"/>
          <w:highlight w:val="green"/>
        </w:rPr>
        <w:t>Urban area</w:t>
      </w:r>
      <w:r>
        <w:rPr>
          <w:rStyle w:val="10"/>
        </w:rPr>
        <w:t xml:space="preserve"> changes showed moderate expansion across most locations (+1,200 to +8,900 m²), with Hakaluki exhibiting the largest increase (+8,900 m²) despite its location within a protected wetland complex. This finding highlights the ongoing tension between conservation objectives and development pressures in Bangladesh's wetland landscapes (Nishat et al., 2000). </w:t>
      </w:r>
      <w:r>
        <w:rPr>
          <w:rStyle w:val="10"/>
          <w:highlight w:val="green"/>
        </w:rPr>
        <w:t>Vegetation area</w:t>
      </w:r>
      <w:r>
        <w:rPr>
          <w:rStyle w:val="10"/>
        </w:rPr>
        <w:t xml:space="preserve"> changes were predominantly positive, ranging from -11,600 m² to +35,700 m², with Phagu showing the largest gain (+35,700 m²), consistent with agricultural expansion in this traditionally rice-cultivating area.</w:t>
      </w:r>
    </w:p>
    <w:p w14:paraId="625751E3">
      <w:pPr>
        <w:pStyle w:val="9"/>
        <w:spacing w:before="0" w:beforeAutospacing="0" w:after="0" w:afterAutospacing="0" w:line="360" w:lineRule="auto"/>
        <w:jc w:val="both"/>
        <w:textAlignment w:val="baseline"/>
        <w:rPr>
          <w:rStyle w:val="11"/>
        </w:rPr>
      </w:pPr>
      <w:r>
        <w:rPr>
          <w:rStyle w:val="11"/>
        </w:rPr>
        <w:t> </w:t>
      </w:r>
    </w:p>
    <w:p w14:paraId="504C13AB">
      <w:pPr>
        <w:pStyle w:val="9"/>
        <w:spacing w:before="0" w:beforeAutospacing="0" w:after="0" w:afterAutospacing="0" w:line="360" w:lineRule="auto"/>
        <w:jc w:val="both"/>
        <w:textAlignment w:val="baseline"/>
        <w:rPr>
          <w:color w:val="0F4761"/>
        </w:rPr>
      </w:pPr>
      <w:r>
        <w:rPr>
          <w:rStyle w:val="10"/>
        </w:rPr>
        <w:t>3.4. Relationships Between LULC Change and SOC Dynamics</w:t>
      </w:r>
      <w:r>
        <w:rPr>
          <w:rStyle w:val="11"/>
        </w:rPr>
        <w:t> </w:t>
      </w:r>
    </w:p>
    <w:p w14:paraId="560D1E31">
      <w:pPr>
        <w:pStyle w:val="9"/>
        <w:spacing w:before="0" w:beforeAutospacing="0" w:after="0" w:afterAutospacing="0" w:line="360" w:lineRule="auto"/>
        <w:jc w:val="both"/>
        <w:textAlignment w:val="baseline"/>
        <w:rPr>
          <w:rStyle w:val="10"/>
        </w:rPr>
      </w:pPr>
      <w:r>
        <w:rPr>
          <w:rStyle w:val="10"/>
        </w:rPr>
        <w:t xml:space="preserve">The integration of LULC change metrics with SOC data revealed complex relationships that varied among locations and land cover types. Locations experiencing substantial vegetation area expansion (e.g., Phagu: +35,700 m²) maintained moderate SOC stocks (30.67 </w:t>
      </w:r>
      <w:r>
        <w:rPr>
          <w:rStyle w:val="10"/>
          <w:highlight w:val="yellow"/>
        </w:rPr>
        <w:t>Mg ha⁻¹),</w:t>
      </w:r>
      <w:r>
        <w:rPr>
          <w:rStyle w:val="10"/>
        </w:rPr>
        <w:t xml:space="preserve"> while sites with vegetation loss or minimal change (e.g., Ajmiriganj) sustained the highest SOC levels (122.69 </w:t>
      </w:r>
      <w:r>
        <w:rPr>
          <w:rStyle w:val="10"/>
          <w:highlight w:val="yellow"/>
        </w:rPr>
        <w:t>Mg ha⁻¹).</w:t>
      </w:r>
      <w:r>
        <w:rPr>
          <w:rStyle w:val="10"/>
        </w:rPr>
        <w:t xml:space="preserve"> This inverse relationship suggests that SOC stocks reflect cumulative long-term management rather than short-term LULC changes, consistent with the decadal timescales required for soil carbon equilibration (Lal, 2004). Water area changes showed weak correlations with SOC stocks (r = 0.12), indicating that altered surface hydrology over the 2017-2024 period had limited immediate effects on soil carbon pools. However, the strong relationship between historical clay content and SOC suggests that hydrological processes operating over longer timescales (decades to centuries) exert primary control on carbon accumulation through sediment deposition and anaerobic conditions. The 8.2% expansion in regional water area may enhance future SOC accumulation if maintained over sufficient duration, but detection of these effects requires longer-term monitoring. Urban area expansion showed negative associations with SOC at several locations (e.g., Hakaluki), though the relatively modest spatial extent of urbanization within 500-meter buffers (maximum +8,900 m²) limits inference regarding urban impacts on carbon stocks. Urbanization indirectly affects wetland carbon cycling through altered hydrology, increased nutrient inputs from wastewater, and modified vegetation communities (Grimm et al., 2008), but these effects manifest primarily at watershed scales beyond the local buffer analysis. Flooded vegetation area losses, documented at seven of nine locations (-24,800 to +8,900 m²), represent a critical concern for SOC conservation given the role of flooding in creating anaerobic conditions that reduce decomposition rates. Locations with substantial flooded vegetation losses (Terchibari: -24,800 m²; Ajmiriganj: -23,400 m²) paradoxically maintained high SOC stocks, suggesting that historical flooding regimes rather than recent changes primarily determine current carbon levels. However, continued reduction in flooded vegetation areas poses risks for future SOC losses as historical carbon accumulations become exposed to enhanced aerobic decomposition.</w:t>
      </w:r>
    </w:p>
    <w:p w14:paraId="1590CBF9">
      <w:pPr>
        <w:pStyle w:val="9"/>
        <w:spacing w:before="0" w:beforeAutospacing="0" w:after="0" w:afterAutospacing="0" w:line="360" w:lineRule="auto"/>
        <w:jc w:val="both"/>
        <w:textAlignment w:val="baseline"/>
        <w:rPr>
          <w:rStyle w:val="10"/>
        </w:rPr>
      </w:pPr>
    </w:p>
    <w:p w14:paraId="6F56F664">
      <w:pPr>
        <w:pStyle w:val="9"/>
        <w:spacing w:before="0" w:beforeAutospacing="0" w:after="0" w:afterAutospacing="0" w:line="360" w:lineRule="auto"/>
        <w:jc w:val="both"/>
        <w:textAlignment w:val="baseline"/>
        <w:rPr>
          <w:color w:val="0F4761"/>
        </w:rPr>
      </w:pPr>
      <w:r>
        <w:rPr>
          <w:rStyle w:val="10"/>
        </w:rPr>
        <w:t>3.5. Environmental Index Trends (1985-2025)</w:t>
      </w:r>
      <w:r>
        <w:rPr>
          <w:rStyle w:val="11"/>
        </w:rPr>
        <w:t> </w:t>
      </w:r>
    </w:p>
    <w:p w14:paraId="763742A0">
      <w:pPr>
        <w:pStyle w:val="9"/>
        <w:spacing w:before="0" w:beforeAutospacing="0" w:after="0" w:afterAutospacing="0" w:line="360" w:lineRule="auto"/>
        <w:jc w:val="both"/>
        <w:textAlignment w:val="baseline"/>
        <w:rPr>
          <w:color w:val="0F4761"/>
        </w:rPr>
      </w:pPr>
      <w:r>
        <w:rPr>
          <w:rStyle w:val="10"/>
        </w:rPr>
        <w:t>Multi-Decadal Environmental Changes</w:t>
      </w:r>
      <w:r>
        <w:rPr>
          <w:rStyle w:val="11"/>
        </w:rPr>
        <w:t> </w:t>
      </w:r>
    </w:p>
    <w:p w14:paraId="4103EE55">
      <w:pPr>
        <w:pStyle w:val="9"/>
        <w:spacing w:before="0" w:beforeAutospacing="0" w:after="0" w:afterAutospacing="0" w:line="360" w:lineRule="auto"/>
        <w:jc w:val="both"/>
        <w:textAlignment w:val="baseline"/>
        <w:rPr>
          <w:rStyle w:val="11"/>
        </w:rPr>
      </w:pPr>
      <w:r>
        <w:rPr>
          <w:rStyle w:val="10"/>
        </w:rPr>
        <w:t>Analysis of four key environmental indices over the 41-year period (1985-2025) revealed complex patterns of environmental change reflecting both climatic variability and anthropogenic modifications to the landscape. The Normalized Difference Water Index (NDWI) exhibited substantial inter-annual variability with values ranging from -0.12 to +0.24, indicating fluctuations in surface water extent and soil moisture conditions. The overall trend showed </w:t>
      </w:r>
      <w:r>
        <w:rPr>
          <w:rStyle w:val="10"/>
          <w:shd w:val="clear" w:color="auto" w:fill="FFFF00"/>
        </w:rPr>
        <w:t>a slight decline in NDWI from</w:t>
      </w:r>
      <w:r>
        <w:rPr>
          <w:rStyle w:val="10"/>
        </w:rPr>
        <w:t> 1985 to 2025 (approximately -15% decrease), consistent with the documented </w:t>
      </w:r>
      <w:r>
        <w:rPr>
          <w:rStyle w:val="10"/>
          <w:shd w:val="clear" w:color="auto" w:fill="FFFF00"/>
        </w:rPr>
        <w:t>reduction in flood-prone areas</w:t>
      </w:r>
      <w:r>
        <w:rPr>
          <w:rStyle w:val="10"/>
        </w:rPr>
        <w:t> and suggesting altered hydrological regimes. </w:t>
      </w:r>
      <w:r>
        <w:rPr>
          <w:rStyle w:val="10"/>
          <w:shd w:val="clear" w:color="auto" w:fill="FFFF00"/>
        </w:rPr>
        <w:t>Land Surface Temperature (LST) showed warming trends across the study period, with mean values increasing from approximately 28°C in the mid-1980s to over 32°C by 2025 (approximately +4°C increase). This warming exceeds the global average temperature increase over the same period (IPCC, 2021),</w:t>
      </w:r>
      <w:r>
        <w:rPr>
          <w:rStyle w:val="10"/>
        </w:rPr>
        <w:t> potentially reflecting combined effects of regional climate change and local landscape modifications. Urban heat island effects from settlement expansion, reduced evaporative cooling following wetland drainage, and altered albedo from agricultural intensification likely contribute to the enhanced warming signal (Dewan et al., 2012). The Built-Up Index (BUI) demonstrated </w:t>
      </w:r>
      <w:r>
        <w:rPr>
          <w:rStyle w:val="10"/>
          <w:shd w:val="clear" w:color="auto" w:fill="FFFF00"/>
        </w:rPr>
        <w:t>progressive increases from 1985 to 2025</w:t>
      </w:r>
      <w:r>
        <w:rPr>
          <w:rStyle w:val="10"/>
        </w:rPr>
        <w:t>, with particularly rapid expansion after 2010 (approximately 180% increase over baseline). </w:t>
      </w:r>
      <w:r>
        <w:rPr>
          <w:rStyle w:val="10"/>
          <w:shd w:val="clear" w:color="auto" w:fill="FFFF00"/>
        </w:rPr>
        <w:t>This pattern parallels the documented urban area expansion in LULC analysis and reflects broader urbanization trends across Bangladesh's wetland regions.</w:t>
      </w:r>
      <w:r>
        <w:rPr>
          <w:rStyle w:val="10"/>
        </w:rPr>
        <w:t> The acceleration in BUI after 2010 coincides with infrastructure development initiatives in the Haor basin, including road construction, embankment building, and rural electrification projects (Hossain et al., 2016). NDVI trends from the multi-index analysis (1985-2025) showed patterns consistent with the Landsat-based NDVI time series, exhibiting increased variability after 2000 and higher values during 2017-2025. The convergence of multiple independent NDVI datasets strengthens confidence in the vegetation productivity trends and suggests robust satellite-based monitoring of ecosystem changes.</w:t>
      </w:r>
      <w:r>
        <w:rPr>
          <w:rStyle w:val="11"/>
        </w:rPr>
        <w:t> </w:t>
      </w:r>
    </w:p>
    <w:p w14:paraId="4EDB169C">
      <w:pPr>
        <w:pStyle w:val="9"/>
        <w:spacing w:before="0" w:beforeAutospacing="0" w:after="0" w:afterAutospacing="0" w:line="360" w:lineRule="auto"/>
        <w:jc w:val="both"/>
        <w:textAlignment w:val="baseline"/>
        <w:rPr>
          <w:color w:val="0F4761"/>
        </w:rPr>
      </w:pPr>
      <w:r>
        <w:rPr>
          <w:rStyle w:val="10"/>
        </w:rPr>
        <w:t>3.6. Long-term Vegetation Dynamics and Biomass Accumulation</w:t>
      </w:r>
      <w:r>
        <w:rPr>
          <w:rStyle w:val="11"/>
        </w:rPr>
        <w:t> </w:t>
      </w:r>
    </w:p>
    <w:p w14:paraId="45FF2F72">
      <w:pPr>
        <w:pStyle w:val="9"/>
        <w:spacing w:before="0" w:beforeAutospacing="0" w:after="0" w:afterAutospacing="0" w:line="360" w:lineRule="auto"/>
        <w:jc w:val="both"/>
        <w:textAlignment w:val="baseline"/>
        <w:rPr>
          <w:color w:val="0F4761"/>
        </w:rPr>
      </w:pPr>
      <w:r>
        <w:rPr>
          <w:rStyle w:val="10"/>
        </w:rPr>
        <w:t>NDVI Trends (1988-2024)</w:t>
      </w:r>
      <w:r>
        <w:rPr>
          <w:rStyle w:val="11"/>
        </w:rPr>
        <w:t> </w:t>
      </w:r>
    </w:p>
    <w:p w14:paraId="69CBFAE8">
      <w:pPr>
        <w:pStyle w:val="9"/>
        <w:spacing w:before="0" w:beforeAutospacing="0" w:after="0" w:afterAutospacing="0" w:line="360" w:lineRule="auto"/>
        <w:jc w:val="both"/>
        <w:textAlignment w:val="baseline"/>
      </w:pPr>
      <w:r>
        <w:rPr>
          <w:rStyle w:val="10"/>
        </w:rPr>
        <w:t>The 37-year NDVI time series revealed substantial inter-annual variability in vegetation productivity across the </w:t>
      </w:r>
      <w:r>
        <w:t>study area, </w:t>
      </w:r>
      <w:r>
        <w:rPr>
          <w:rStyle w:val="10"/>
        </w:rPr>
        <w:t>with mean NDVI values ranging from 0.049 (1988) to 0.148 (2023). The temporal pattern exhibited three distinct phases: (1) a relatively stable period from 1988-2000 with mean NDVI oscillating between 0.05 and 0.13; (2) increased variability during 2001-2010 characterized by pronounced year-to-year fluctuations; and (3) a trend toward higher productivity after 2010, culminating in peak NDVI values during 2021-2023. The exceptionally high NDVI recorded in 2023 (0.148) represents a 202% increase relative to the 1988 baseline, suggesting substantial changes in </w:t>
      </w:r>
      <w:r>
        <w:rPr>
          <w:rStyle w:val="10"/>
          <w:shd w:val="clear" w:color="auto" w:fill="FFFF00"/>
        </w:rPr>
        <w:t>vegetation cover and/or agricultural intensification over the study period.</w:t>
      </w:r>
      <w:r>
        <w:rPr>
          <w:rStyle w:val="10"/>
        </w:rPr>
        <w:t> These NDVI dynamics align with regional assessments of agricultural expansion in Bangladesh's wetlands, where traditional extensive rice cultivation has transitioned toward intensive Boro rice production during the dry season (Bhuiyan &amp; Dutta, 2012). The increased NDVI values after 2010 coincide with the period of groundwater irrigation infrastructure development in the Haor basin, facilitating year-round cultivation even in seasonally flooded areas (Hossain et al., 2016). However, the high inter-annual variability observed throughout the record reflects the sensitivity of wetland vegetation to monsoonal rainfall patterns and flooding regime alterations, both of which exhibit significant year-to-year fluctuations in response to climate variability (Mirza, 2002).</w:t>
      </w:r>
      <w:r>
        <w:rPr>
          <w:rStyle w:val="11"/>
        </w:rPr>
        <w:t> </w:t>
      </w:r>
    </w:p>
    <w:p w14:paraId="516595F5">
      <w:pPr>
        <w:pStyle w:val="9"/>
        <w:spacing w:before="0" w:beforeAutospacing="0" w:after="0" w:afterAutospacing="0" w:line="360" w:lineRule="auto"/>
        <w:jc w:val="both"/>
        <w:textAlignment w:val="baseline"/>
        <w:rPr>
          <w:color w:val="0F4761"/>
        </w:rPr>
      </w:pPr>
      <w:r>
        <w:rPr>
          <w:rStyle w:val="10"/>
        </w:rPr>
        <w:t>Biomass Estimation and Validation</w:t>
      </w:r>
      <w:r>
        <w:rPr>
          <w:rStyle w:val="11"/>
        </w:rPr>
        <w:t> </w:t>
      </w:r>
    </w:p>
    <w:p w14:paraId="4136C5A0">
      <w:pPr>
        <w:pStyle w:val="9"/>
        <w:spacing w:before="0" w:beforeAutospacing="0" w:after="0" w:afterAutospacing="0" w:line="360" w:lineRule="auto"/>
        <w:jc w:val="both"/>
        <w:textAlignment w:val="baseline"/>
      </w:pPr>
      <w:r>
        <w:rPr>
          <w:rStyle w:val="10"/>
        </w:rPr>
        <w:t>NDVI-derived biomass estimates (1988-2024) showed corresponding patterns to the vegetation index trends, with annual above-ground biomass production ranging from 0.280 to 0.545 t ha⁻¹ yr⁻¹. The quadratic NDVI-biomass relationship captured the non-linear response of vegetation reflectance to canopy density, with peak biomass values occurring during years of moderate NDVI (0.05-0.07) rather than maximum NDVI (&gt;0.12). This apparent paradox reflects the satur.ation effect of NDVI in dense canopies, where increased leaf area index beyond a certain threshold produces diminishing increases in the vegetation index (Gitelson, 2004). The relatively low biomass estimates (0.28-0.55 t ha⁻¹ yr⁻¹) are characteristic of wetland rice systems in tropical Asia, where annual crop biomass typically ranges from 0.3 to 0.8 t ha⁻¹ depending on cultivation intensity and flooding duration (Neue et al., 1997). Validation using the ESA CCI Above-Ground Biomass dataset (2010-2021) provided independent confirmation of landscape-scale biomass patterns. The ESA CCI data revealed mean AGB values of 20.75-30.36 Mg ha⁻¹ during the overlapping period, with total regional biomass stocks ranging from 25.6 to 37.5 million Mg. These substantially higher values reflect the fact that ESA CCI estimates represent standing biomass stock (accumulated over multiple years) rather than annual productivity, and include contributions from perennial vegetation, tree cover, and structural components not captured by annual NDVI composites (Santoro et al., 2021). The year 2021 exhibited peak AGB (30.36 Mg ha⁻¹), corresponding to the high NDVI period and suggesting enhanced vegetation productivity during this interval. The temporal correspondence between NDVI-derived annual productivity and ESA CCI standing biomass provides confidence in the satellite-based vegetation monitoring approach. However, the limited temporal coverage of ESA CCI data (only 8 years with substantial gaps) highlights the value of the longer Landsat-based NDVI record for capturing multi-decadal trends in wetland ecosystem functioning.</w:t>
      </w:r>
      <w:r>
        <w:rPr>
          <w:rStyle w:val="11"/>
        </w:rPr>
        <w:t> </w:t>
      </w:r>
    </w:p>
    <w:p w14:paraId="44AE5746">
      <w:pPr>
        <w:pStyle w:val="9"/>
        <w:spacing w:before="0" w:beforeAutospacing="0" w:after="0" w:afterAutospacing="0" w:line="360" w:lineRule="auto"/>
        <w:jc w:val="both"/>
        <w:textAlignment w:val="baseline"/>
        <w:rPr>
          <w:rStyle w:val="10"/>
        </w:rPr>
      </w:pPr>
    </w:p>
    <w:p w14:paraId="1A759967">
      <w:pPr>
        <w:pStyle w:val="9"/>
        <w:spacing w:before="0" w:beforeAutospacing="0" w:after="0" w:afterAutospacing="0" w:line="360" w:lineRule="auto"/>
        <w:jc w:val="both"/>
        <w:textAlignment w:val="baseline"/>
        <w:rPr>
          <w:color w:val="0F4761"/>
        </w:rPr>
      </w:pPr>
      <w:r>
        <w:rPr>
          <w:rStyle w:val="10"/>
        </w:rPr>
        <w:t>3.7. Integration of Hydrological, Vegetation, and SOC Dynamics</w:t>
      </w:r>
      <w:r>
        <w:rPr>
          <w:rStyle w:val="11"/>
        </w:rPr>
        <w:t> </w:t>
      </w:r>
    </w:p>
    <w:p w14:paraId="2C8AB44C">
      <w:pPr>
        <w:pStyle w:val="9"/>
        <w:spacing w:before="0" w:beforeAutospacing="0" w:after="0" w:afterAutospacing="0" w:line="360" w:lineRule="auto"/>
        <w:jc w:val="both"/>
        <w:textAlignment w:val="baseline"/>
      </w:pPr>
      <w:r>
        <w:rPr>
          <w:rStyle w:val="10"/>
        </w:rPr>
        <w:t>The apparent temporal stability of SOC stocks from 1985 to 2025, despite substantial changes in vegetation productivity, LULC composition, and hydrological regimes, presents a paradox requiring careful mechanistic interpretation. Several non-exclusive explanations may account for this pattern:</w:t>
      </w:r>
      <w:r>
        <w:rPr>
          <w:rStyle w:val="11"/>
        </w:rPr>
        <w:t> </w:t>
      </w:r>
    </w:p>
    <w:p w14:paraId="6033A412">
      <w:pPr>
        <w:pStyle w:val="9"/>
        <w:spacing w:before="0" w:beforeAutospacing="0" w:after="0" w:afterAutospacing="0" w:line="360" w:lineRule="auto"/>
        <w:jc w:val="both"/>
        <w:textAlignment w:val="baseline"/>
      </w:pPr>
      <w:r>
        <w:rPr>
          <w:rStyle w:val="10"/>
          <w:b/>
          <w:bCs/>
        </w:rPr>
        <w:t>1. Equilibrium Carbon Dynamics</w:t>
      </w:r>
      <w:r>
        <w:rPr>
          <w:rStyle w:val="10"/>
        </w:rPr>
        <w:t>: Wetland soils under stable management may reach steady-state conditions where carbon inputs from vegetation productivity balance losses through decomposition and erosion (Davidson &amp; Janssens, 2006). In the Sunamganj Haor, despite fluctuations in annual vegetation productivity (0.28-0.55 t ha⁻¹ yr⁻¹), the long-term average organic matter input may remain relatively constant, maintaining SOC stocks near equilibrium levels. The high clay content across locations (31.69-72.20%) enhances carbon stabilization through organo-mineral associations, reducing sensitivity of SOC pools to short-term variations in inputs (Torn et al., 1997).</w:t>
      </w:r>
      <w:r>
        <w:rPr>
          <w:rStyle w:val="11"/>
        </w:rPr>
        <w:t> </w:t>
      </w:r>
    </w:p>
    <w:p w14:paraId="382A25EC">
      <w:pPr>
        <w:pStyle w:val="9"/>
        <w:spacing w:before="0" w:beforeAutospacing="0" w:after="0" w:afterAutospacing="0" w:line="360" w:lineRule="auto"/>
        <w:jc w:val="both"/>
        <w:textAlignment w:val="baseline"/>
      </w:pPr>
      <w:r>
        <w:rPr>
          <w:rStyle w:val="10"/>
          <w:b/>
          <w:bCs/>
        </w:rPr>
        <w:t>2. Compensatory Mechanisms in Carbon Cycling</w:t>
      </w:r>
      <w:r>
        <w:rPr>
          <w:rStyle w:val="10"/>
        </w:rPr>
        <w:t>: Increased vegetation productivity documented through NDVI trends may be offset by enhanced decomposition rates driven by rising temperatures (+4°C over the study period) and altered flooding regimes. Meta-analyses demonstrate that soil organic matter decomposition exhibits exponential temperature sensitivity (Q₁₀ = 2-3), meaning that a 4°C warming could increase decomposition rates by 30-90% (Davidson &amp; Janssens, 2006). Simultaneously, the 16.3% reduction in flood-prone areas likely increased aerobic decomposition periods, further accelerating carbon losses (Lal, 2008). These compensatory processes may maintain SOC stocks near constant levels despite changing inputs.</w:t>
      </w:r>
      <w:r>
        <w:rPr>
          <w:rStyle w:val="11"/>
        </w:rPr>
        <w:t> </w:t>
      </w:r>
    </w:p>
    <w:p w14:paraId="43FDB157">
      <w:pPr>
        <w:pStyle w:val="9"/>
        <w:spacing w:before="0" w:beforeAutospacing="0" w:after="0" w:afterAutospacing="0" w:line="360" w:lineRule="auto"/>
        <w:jc w:val="both"/>
        <w:textAlignment w:val="baseline"/>
      </w:pPr>
      <w:r>
        <w:rPr>
          <w:rStyle w:val="10"/>
          <w:b/>
          <w:bCs/>
        </w:rPr>
        <w:t>3. Spatial Sampling Strategy Limitations</w:t>
      </w:r>
      <w:r>
        <w:rPr>
          <w:rStyle w:val="10"/>
        </w:rPr>
        <w:t>: The nine sampling locations, while representing diverse land use types, may not fully capture the spatial heterogeneity of SOC responses to landscape change. Locations were selected based on accessibility and representation of major land uses, potentially biasing toward managed agricultural systems that exhibit greater SOC stability compared to transitional zones experiencing active land use change. Additionally, the 500-meter buffer analysis, while providing local landscape context, may not capture watershed-scale processes influencing carbon dynamics through lateral transport and redistribution.</w:t>
      </w:r>
      <w:r>
        <w:rPr>
          <w:rStyle w:val="11"/>
        </w:rPr>
        <w:t> </w:t>
      </w:r>
    </w:p>
    <w:p w14:paraId="31DB8F40">
      <w:pPr>
        <w:pStyle w:val="9"/>
        <w:spacing w:before="0" w:beforeAutospacing="0" w:after="0" w:afterAutospacing="0" w:line="360" w:lineRule="auto"/>
        <w:jc w:val="both"/>
        <w:textAlignment w:val="baseline"/>
        <w:rPr>
          <w:rStyle w:val="11"/>
        </w:rPr>
      </w:pPr>
      <w:r>
        <w:rPr>
          <w:rStyle w:val="10"/>
          <w:b/>
          <w:bCs/>
        </w:rPr>
        <w:t>4. Detection Limits and Temporal Sampling</w:t>
      </w:r>
      <w:r>
        <w:rPr>
          <w:rStyle w:val="10"/>
        </w:rPr>
        <w:t>: Soil carbon pools exhibit substantial spatial heterogeneity (coefficient of variation typically 20-50% within fields), requiring intensive sampling to detect changes smaller than 5-10% with statistical confidence (Smith, 2004). The single-time-point sampling strategy in 1985 and 2025, while spanning a 40-year period, limits ability to detect non-linear trajectories or identify intermediate changes that may have occurred. Higher-frequency temporal sampling or spatially intensive designs would enhance power to detect SOC trends.</w:t>
      </w:r>
      <w:r>
        <w:rPr>
          <w:rStyle w:val="11"/>
        </w:rPr>
        <w:t> </w:t>
      </w:r>
    </w:p>
    <w:p w14:paraId="1C06D76F">
      <w:pPr>
        <w:pStyle w:val="9"/>
        <w:spacing w:line="360" w:lineRule="auto"/>
        <w:jc w:val="both"/>
      </w:pPr>
      <w:r>
        <w:t xml:space="preserve">3.8. </w:t>
      </w:r>
      <w:r>
        <w:rPr>
          <w:i/>
          <w:iCs/>
        </w:rPr>
        <w:t>Environmental Factors Affecting Wetland Soil Carbon Sinks</w:t>
      </w:r>
      <w:r>
        <w:t> </w:t>
      </w:r>
    </w:p>
    <w:p w14:paraId="4D836DCD">
      <w:pPr>
        <w:pStyle w:val="9"/>
        <w:spacing w:line="360" w:lineRule="auto"/>
        <w:jc w:val="both"/>
      </w:pPr>
      <w:r>
        <w:t>The organic carbon stored in an ecosystem is determined by all the factors that have a role in forming it (Liu, 2004). Soil organic carbon is affected by different factors such as soil physicochemical properties (pH, nutrient content, etc.), vegetation, hydrological processes, anthropogenic activities, etc.  According to previous studies, these factors holistically explained 63.6% of the variation in soil carbon sink (Gao, Zhang, Lei, &amp; Wang, 2014). </w:t>
      </w:r>
    </w:p>
    <w:p w14:paraId="72CD9F71">
      <w:pPr>
        <w:pStyle w:val="9"/>
        <w:spacing w:line="360" w:lineRule="auto"/>
        <w:jc w:val="both"/>
        <w:rPr>
          <w:rStyle w:val="11"/>
        </w:rPr>
      </w:pPr>
      <w:r>
        <w:t>Wetland soil carbon, nitrogen, and phosphorus content have a direct or indirect effect on the soil organic carbon content (Cao, et al., 2017). This has been proven by our studies as well, as soil organic carbon content explains most of the nitrogen content of the soil; R</w:t>
      </w:r>
      <w:r>
        <w:rPr>
          <w:vertAlign w:val="superscript"/>
        </w:rPr>
        <w:t>2</w:t>
      </w:r>
      <w:r>
        <w:t xml:space="preserve">=0.82, p&lt;0.01 indicates a strong positive correlation between soil nitrogen content and SOC. The supply of plant materials and aquatic macrophytes is an important source of nitrogen in wetlands (Saunders, 2001). It may also be due to the addition of autochthonous organic matter, such as vegetation, organic loadings, and fertilizer runoff from nearby fields (Asgher, 2021). A strong positive correlation was observed between soil pH and cation exchange capacity (r=0.69, p&lt;0.05) and clay content (r=0.71, p&lt;0.05), indicating that soils with higher clay fractions generally exhibit greater buffering capacity and higher base saturation, leading to higher pH levels (Hazelton, 2016). Soil SOC improves soil aggregation and structures, which enhances the retention of important cations like Ca2+, Mg2+, K+, and Na+. This is consistent with previous findings on the synergistic role of organic carbon and clay in improving soil chemical properties. The strong positive correlation between clay content and CEC (r=0.93, p&lt;0.01) suggests that soils rich with clay minerals exhibit higher cation exchange capacities, which has been corroborated by several previous studies (Brady, 2017). A strong positive correlation between CEC and urban area changes (r=0.72, p&lt;0.01) was observed; it may be attributed to anthropogenic influences such as accumulation of construction debris, deposition of fine particles, and modification of soil structure due to compaction and surface sealing (Rawlins, 2008). A strong negative correlation was observed between soil bulk density and cation exchange capacity (r=-0.75, p&lt;0.05), which signifies that the wetland soils became compacted due to anthropogenic changes. Similarly, a negative correlation was observed between bulk density and clay content (r=-0.72, p&lt;0.05), indicating that higher clay fraction tends to lower bulk densities. </w:t>
      </w:r>
      <w:r>
        <w:rPr>
          <w:highlight w:val="yellow"/>
        </w:rPr>
        <w:t>Clayey soils have a fine texture that creates more spaces and structural aggregation, reducing compaction (Brady, 2017)</w:t>
      </w:r>
      <w:r>
        <w:t>. A strong positive correlation was also observed between in water bodies and urban areas (r=0.65, p&lt;0.05), possibly indicating a reduction in water bodies due to encroachment from nearby water bodies (Kadir, 2022). Hydrological changes are important factors influencing wetland functions such as energy conversion, element migration, and the formation of new wetland areas.</w:t>
      </w:r>
    </w:p>
    <w:p w14:paraId="4C8371CF">
      <w:pPr>
        <w:spacing w:after="0" w:line="360" w:lineRule="auto"/>
        <w:jc w:val="both"/>
        <w:textAlignment w:val="baseline"/>
        <w:rPr>
          <w:rFonts w:ascii="Times New Roman" w:hAnsi="Times New Roman" w:eastAsia="Times New Roman" w:cs="Times New Roman"/>
          <w:sz w:val="24"/>
          <w:szCs w:val="24"/>
        </w:rPr>
      </w:pPr>
      <w:r>
        <w:rPr>
          <w:rFonts w:ascii="Times New Roman" w:hAnsi="Times New Roman" w:eastAsia="Times New Roman" w:cs="Times New Roman"/>
          <w:sz w:val="24"/>
          <w:szCs w:val="24"/>
        </w:rPr>
        <w:t>The results of the general linear regression revealed significant positive and negative relationships (p &lt; 0.05). PCA of the dataset resulted in two PC, which explained 65.19%</w:t>
      </w:r>
      <w:r>
        <w:rPr>
          <w:rFonts w:ascii="Times New Roman" w:hAnsi="Times New Roman" w:eastAsia="Times New Roman" w:cs="Times New Roman"/>
          <w:b/>
          <w:bCs/>
          <w:sz w:val="24"/>
          <w:szCs w:val="24"/>
        </w:rPr>
        <w:t> </w:t>
      </w:r>
      <w:r>
        <w:rPr>
          <w:rFonts w:ascii="Times New Roman" w:hAnsi="Times New Roman" w:eastAsia="Times New Roman" w:cs="Times New Roman"/>
          <w:sz w:val="24"/>
          <w:szCs w:val="24"/>
        </w:rPr>
        <w:t>of the total variance. The PC1 with an eigenvalue of 4.044 accounted for 40.44% of the variation, while the PC2 with an eigenvalue of 2.475 explained 24.75% of the variation. The PC1 showed strong positive loadings on </w:t>
      </w:r>
      <w:r>
        <w:rPr>
          <w:rFonts w:ascii="Times New Roman" w:hAnsi="Times New Roman" w:eastAsia="Times New Roman" w:cs="Times New Roman"/>
          <w:i/>
          <w:iCs/>
          <w:sz w:val="24"/>
          <w:szCs w:val="24"/>
        </w:rPr>
        <w:t>Cation Exchange Capacity, Clay, pH, </w:t>
      </w:r>
      <w:r>
        <w:rPr>
          <w:rFonts w:ascii="Times New Roman" w:hAnsi="Times New Roman" w:eastAsia="Times New Roman" w:cs="Times New Roman"/>
          <w:sz w:val="24"/>
          <w:szCs w:val="24"/>
        </w:rPr>
        <w:t>and</w:t>
      </w:r>
      <w:r>
        <w:rPr>
          <w:rFonts w:ascii="Times New Roman" w:hAnsi="Times New Roman" w:eastAsia="Times New Roman" w:cs="Times New Roman"/>
          <w:i/>
          <w:iCs/>
          <w:sz w:val="24"/>
          <w:szCs w:val="24"/>
        </w:rPr>
        <w:t> Urban Area Change, </w:t>
      </w:r>
      <w:r>
        <w:rPr>
          <w:rFonts w:ascii="Times New Roman" w:hAnsi="Times New Roman" w:eastAsia="Times New Roman" w:cs="Times New Roman"/>
          <w:sz w:val="24"/>
          <w:szCs w:val="24"/>
        </w:rPr>
        <w:t>along with moderate loadings on </w:t>
      </w:r>
      <w:r>
        <w:rPr>
          <w:rFonts w:ascii="Times New Roman" w:hAnsi="Times New Roman" w:eastAsia="Times New Roman" w:cs="Times New Roman"/>
          <w:i/>
          <w:iCs/>
          <w:sz w:val="24"/>
          <w:szCs w:val="24"/>
        </w:rPr>
        <w:t>Water Area Change. </w:t>
      </w:r>
      <w:r>
        <w:rPr>
          <w:rFonts w:ascii="Times New Roman" w:hAnsi="Times New Roman" w:eastAsia="Times New Roman" w:cs="Times New Roman"/>
          <w:sz w:val="24"/>
          <w:szCs w:val="24"/>
        </w:rPr>
        <w:t xml:space="preserve">The PC1 increases with increasing CEC, Clay, pH, and urban area change. </w:t>
      </w:r>
      <w:r>
        <w:rPr>
          <w:rFonts w:ascii="Times New Roman" w:hAnsi="Times New Roman" w:eastAsia="Times New Roman" w:cs="Times New Roman"/>
          <w:color w:val="000000"/>
          <w:sz w:val="24"/>
          <w:szCs w:val="24"/>
        </w:rPr>
        <w:t>PC2 is defined by a strong positive loading from Vegetation Area Change and strong negative loadings from Total Nitrogen and Soil Organic Carbon</w:t>
      </w:r>
      <w:r>
        <w:rPr>
          <w:rFonts w:ascii="Times New Roman" w:hAnsi="Times New Roman" w:eastAsia="Times New Roman" w:cs="Times New Roman"/>
          <w:sz w:val="24"/>
          <w:szCs w:val="24"/>
        </w:rPr>
        <w:t>. The variables </w:t>
      </w:r>
      <w:r>
        <w:rPr>
          <w:rFonts w:ascii="Times New Roman" w:hAnsi="Times New Roman" w:eastAsia="Times New Roman" w:cs="Times New Roman"/>
          <w:i/>
          <w:iCs/>
          <w:sz w:val="24"/>
          <w:szCs w:val="24"/>
        </w:rPr>
        <w:t>Total Nitrogen</w:t>
      </w:r>
      <w:r>
        <w:rPr>
          <w:rFonts w:ascii="Times New Roman" w:hAnsi="Times New Roman" w:eastAsia="Times New Roman" w:cs="Times New Roman"/>
          <w:sz w:val="24"/>
          <w:szCs w:val="24"/>
        </w:rPr>
        <w:t> and </w:t>
      </w:r>
      <w:r>
        <w:rPr>
          <w:rFonts w:ascii="Times New Roman" w:hAnsi="Times New Roman" w:eastAsia="Times New Roman" w:cs="Times New Roman"/>
          <w:i/>
          <w:iCs/>
          <w:sz w:val="24"/>
          <w:szCs w:val="24"/>
        </w:rPr>
        <w:t>Soil Organic Carbon</w:t>
      </w:r>
      <w:r>
        <w:rPr>
          <w:rFonts w:ascii="Times New Roman" w:hAnsi="Times New Roman" w:eastAsia="Times New Roman" w:cs="Times New Roman"/>
          <w:sz w:val="24"/>
          <w:szCs w:val="24"/>
        </w:rPr>
        <w:t> are positively correlated with each other and tend to decrease along PC2</w:t>
      </w:r>
      <w:r>
        <w:rPr>
          <w:rFonts w:ascii="Times New Roman" w:hAnsi="Times New Roman" w:eastAsia="Times New Roman" w:cs="Times New Roman"/>
          <w:b/>
          <w:bCs/>
          <w:sz w:val="24"/>
          <w:szCs w:val="24"/>
        </w:rPr>
        <w:t>,</w:t>
      </w:r>
      <w:r>
        <w:rPr>
          <w:rFonts w:ascii="Times New Roman" w:hAnsi="Times New Roman" w:eastAsia="Times New Roman" w:cs="Times New Roman"/>
          <w:sz w:val="24"/>
          <w:szCs w:val="24"/>
        </w:rPr>
        <w:t xml:space="preserve"> while Vegetation</w:t>
      </w:r>
      <w:r>
        <w:rPr>
          <w:rFonts w:ascii="Times New Roman" w:hAnsi="Times New Roman" w:eastAsia="Times New Roman" w:cs="Times New Roman"/>
          <w:i/>
          <w:iCs/>
          <w:sz w:val="24"/>
          <w:szCs w:val="24"/>
        </w:rPr>
        <w:t> </w:t>
      </w:r>
      <w:r>
        <w:rPr>
          <w:rFonts w:ascii="Times New Roman" w:hAnsi="Times New Roman" w:eastAsia="Times New Roman" w:cs="Times New Roman"/>
          <w:sz w:val="24"/>
          <w:szCs w:val="24"/>
        </w:rPr>
        <w:t>Area</w:t>
      </w:r>
      <w:r>
        <w:rPr>
          <w:rFonts w:ascii="Times New Roman" w:hAnsi="Times New Roman" w:eastAsia="Times New Roman" w:cs="Times New Roman"/>
          <w:i/>
          <w:iCs/>
          <w:sz w:val="24"/>
          <w:szCs w:val="24"/>
        </w:rPr>
        <w:t> </w:t>
      </w:r>
      <w:r>
        <w:rPr>
          <w:rFonts w:ascii="Times New Roman" w:hAnsi="Times New Roman" w:eastAsia="Times New Roman" w:cs="Times New Roman"/>
          <w:sz w:val="24"/>
          <w:szCs w:val="24"/>
        </w:rPr>
        <w:t>Change increases.   </w:t>
      </w:r>
      <w:r>
        <w:rPr>
          <w:rFonts w:ascii="Times New Roman" w:hAnsi="Times New Roman" w:cs="Times New Roman"/>
          <w:sz w:val="24"/>
          <w:szCs w:val="24"/>
        </w:rPr>
        <w:t>The PCA results highlight two dominant, orthogonal controls on soil variability within the haor landscape. PC1 is characterized by strong positive loadings of CEC, clay content, pH, and hydrological or urban area change. The clustering of clay and CEC aligns with well-established relationships between fine-textured soils and enhanced nutrient retention capacity. The positive association of PC1 with water and urban area change further suggests that landscape modification and altered hydrology are influencing the geochemical environment, potentially affecting cation exchange processes and stabilization of organic matter (Lal, 2004). The moderate negative loading of bulk density on PC1 supports this interpretation, reflecting lower compaction in clay-rich, wetter soils.</w:t>
      </w:r>
    </w:p>
    <w:p w14:paraId="279EE841">
      <w:pPr>
        <w:pStyle w:val="9"/>
        <w:spacing w:after="0" w:line="360" w:lineRule="auto"/>
        <w:jc w:val="both"/>
        <w:textAlignment w:val="baseline"/>
      </w:pPr>
      <w:r>
        <w:t>PC2, dominated by strong negative loadings of SOC% and total nitrogen and opposed by a strong positive loading of vegetation area change. This pattern suggests that recent vegetation area change may attribute to lower SOC and TN, consistent with early successional dynamics where organic matter inputs have not yet accumulated substantially (Six et al., 2002). Conversely, sites with higher SOC and TN cluster toward the opposite end of PC2, reflecting long-term organic matter accumulation in more stable land-cover settings (Pan et al., 2004).</w:t>
      </w:r>
    </w:p>
    <w:p w14:paraId="29FF59AE">
      <w:pPr>
        <w:pStyle w:val="9"/>
        <w:spacing w:after="0" w:line="360" w:lineRule="auto"/>
        <w:jc w:val="both"/>
        <w:textAlignment w:val="baseline"/>
      </w:pPr>
      <w:r>
        <w:t>The hierarchical clustering analysis reinforced the key controls shaping SOC patterns in the haor landscape. SOC%, SOC stock, and total nitrogen clustered tightly, reflecting their shared biogeochemical origin and the strong coupling of carbon and nitrogen cycling in wetland soils (Pan et al., 2004). Bulk density grouped with vegetation cover change, indicating that shifts in land cover influence soil structure and the physical protection of organic carbon, consistent with known impacts of disturbance and compaction (Lal, 2004). A broader cluster linking clay content, CEC, pH, and hydrological change variables highlights the central role of mineralogy and water regime in regulating nutrient retention and decomposition. Together, these patterns suggest that SOC stability is governed by internal nutrient cycling processes interacting with external drivers such as hydrological alteration and land-use change, which can shift soils toward new equilibrium states (Six et al., 2002).</w:t>
      </w:r>
    </w:p>
    <w:p w14:paraId="012A17B3">
      <w:pPr>
        <w:pStyle w:val="9"/>
        <w:spacing w:before="0" w:beforeAutospacing="0" w:after="0" w:afterAutospacing="0" w:line="360" w:lineRule="auto"/>
        <w:jc w:val="both"/>
        <w:textAlignment w:val="baseline"/>
      </w:pPr>
      <w:r>
        <w:t>There is consistency across clustering methods such as K-Means and Hierarchical which strengthens the reliability of these groupings, while DBSCAN further identified outlier sites located mainly at wetland margins or emerging urban zones where soil–environment interactions differ from the core landscape.</w:t>
      </w:r>
    </w:p>
    <w:p w14:paraId="78F9DC1D">
      <w:pPr>
        <w:pStyle w:val="9"/>
        <w:spacing w:after="0" w:line="360" w:lineRule="auto"/>
        <w:jc w:val="both"/>
        <w:textAlignment w:val="baseline"/>
      </w:pPr>
      <w:r>
        <w:t xml:space="preserve">3.9. Implications for Wetland Carbon Management and Climate Change </w:t>
      </w:r>
    </w:p>
    <w:p w14:paraId="1C6A699D">
      <w:pPr>
        <w:pStyle w:val="9"/>
        <w:spacing w:after="0" w:line="360" w:lineRule="auto"/>
        <w:jc w:val="both"/>
        <w:textAlignment w:val="baseline"/>
      </w:pPr>
      <w:r>
        <w:t xml:space="preserve">The findings from this study have important implications for understanding wetland carbon dynamics in the context of global change and designing effective conservation strategies. The Sunamganj Haor wetlands, representative of seasonally flooded lowland ecosystems across South and Southeast Asia, currently store substantial soil organic carbon (96-351 Mg ha⁻¹ in topsoil alone), comparable to values reported for tropical peatlands and significantly exceeding upland agricultural soils (Lal, 2004). These carbon stocks provide critical climate regulation services, with total regional SOC storage estimated at 25-38 million Mg based on ESA biomass data and spatial extent. However, multiple interacting pressures threaten the long-term stability of these carbon pools. The documented reduction in flood-prone areas (-16.3%) and seasonal flooding extent represents a fundamental alteration of the hydrological regime that historically maintained anaerobic conditions favorable for carbon preservation. If continued, this trend will progressively shift wetland soils toward more aerobic conditions, potentially triggering accelerated decomposition of historically accumulated organic matter and transforming wetlands from carbon sinks to sources (Lal, 2008). Rising temperatures (+4°Cover the study period) compound these hydrological changes by accelerating microbial decomposition rates. Even if flooding regimes were maintained, the enhanced thermal energy increases enzymatic activity and organic matter turnover, potentially destabilizing SOC pools that accumulated under cooler historical conditions (Davidson &amp; Janssens, 2006). The combination of reduced flooding duration and elevated temperatures creates synergistic effects that may overwhelm carbon stabilization mechanisms provided by clay minerals. Agricultural intensification, reflected in increased NDVI values and vegetation area expansion, presents both opportunities and risks for SOC management. Enhanced biomass production increases organic matter inputs to soil, potentially offsetting decomposition losses and maintaining carbon stocks (Kong et al., 2005). The highest SOC stocks observed at Ajmiriganj under irrigated Boro-fallow rotation demonstrate that well-managed agricultural systems can sustain substantial carbon storage. However, intensive management also increases soil compaction (elevated SBD), reduces biodiversity, and may deplete carbon stocks if biomass is removed rather than incorporated (Yan et al., 2013). </w:t>
      </w:r>
    </w:p>
    <w:p w14:paraId="0DF41665">
      <w:pPr>
        <w:pStyle w:val="9"/>
        <w:spacing w:after="0" w:line="360" w:lineRule="auto"/>
        <w:jc w:val="both"/>
        <w:textAlignment w:val="baseline"/>
      </w:pPr>
      <w:r>
        <w:t xml:space="preserve">3.10. Management Recommendations </w:t>
      </w:r>
    </w:p>
    <w:p w14:paraId="296420F5">
      <w:pPr>
        <w:pStyle w:val="9"/>
        <w:spacing w:after="0" w:line="360" w:lineRule="auto"/>
        <w:jc w:val="both"/>
        <w:textAlignment w:val="baseline"/>
      </w:pPr>
      <w:r>
        <w:t xml:space="preserve">Based on the integrated analysis of SOC dynamics, LULC change, and environmental trends, several management strategies emerge as priorities for conserving wetland carbon stocks: </w:t>
      </w:r>
    </w:p>
    <w:p w14:paraId="01512648">
      <w:pPr>
        <w:pStyle w:val="9"/>
        <w:spacing w:after="0" w:line="360" w:lineRule="auto"/>
        <w:jc w:val="both"/>
        <w:textAlignment w:val="baseline"/>
      </w:pPr>
      <w:r>
        <w:t xml:space="preserve">1. Hydrological Management: Maintaining seasonal flooding regimes should be prioritized through water management infrastructure that mimics natural inundation patterns. This may require modifications to existing embankments, controlled drainage systems, and coordination with upstream water management authorities to ensure adequate monsoon flows. The critical threshold appears to be maintaining flood-prone areas above 70-80% of historical extent, below which substantial SOC losses may occur. </w:t>
      </w:r>
    </w:p>
    <w:p w14:paraId="21365261">
      <w:pPr>
        <w:pStyle w:val="9"/>
        <w:spacing w:after="0" w:line="360" w:lineRule="auto"/>
        <w:jc w:val="both"/>
        <w:textAlignment w:val="baseline"/>
      </w:pPr>
    </w:p>
    <w:p w14:paraId="5BEBCEBB">
      <w:pPr>
        <w:pStyle w:val="9"/>
        <w:spacing w:after="0" w:line="360" w:lineRule="auto"/>
        <w:jc w:val="both"/>
        <w:textAlignment w:val="baseline"/>
      </w:pPr>
      <w:r>
        <w:t xml:space="preserve">2. Agricultural Practices: Promoting carbon-conserving agricultural practices including: (a) incorporation of crop residues rather than burning or removal; (b) maintaining continuous flooding during rice cultivation to preserve anaerobic conditions; (c) diversifying rotations to include nitrogen-fixing legumes that reduce synthetic fertilizer requirements; and (d) minimizing tillage to reduce soil disturbance and compaction. The success of irrigated Boro-fallow systems at maintaining high SOC suggests that well-designed intensive systems can be compatible with carbon conservation. </w:t>
      </w:r>
    </w:p>
    <w:p w14:paraId="7F1BE150">
      <w:pPr>
        <w:pStyle w:val="9"/>
        <w:spacing w:after="0" w:line="360" w:lineRule="auto"/>
        <w:jc w:val="both"/>
        <w:textAlignment w:val="baseline"/>
      </w:pPr>
      <w:r>
        <w:t xml:space="preserve">3. Protected Area Enhancement: Expanding protected area coverage beyond current boundaries, particularly around locations showing high SOC stocks (Ajmiriganj, Sulla, Terchibari) and high clay content soils with maximum carbon stabilization potential. These areas should be managed to maintain natural flooding regimes and vegetation communities that maximize carbon inputs and minimize losses. </w:t>
      </w:r>
    </w:p>
    <w:p w14:paraId="6B20F298">
      <w:pPr>
        <w:pStyle w:val="9"/>
        <w:spacing w:after="0" w:line="360" w:lineRule="auto"/>
        <w:jc w:val="both"/>
        <w:textAlignment w:val="baseline"/>
      </w:pPr>
      <w:r>
        <w:t xml:space="preserve">4. Urban Planning: Directing development away from high-SOC wetland areas through spatial planning tools and incentive structures. Urban expansion should be concentrated in upland areas or previously disturbed sites rather than encroaching on functioning wetlands. Where development is unavoidable, compensatory wetland creation in strategic locations may partially offset carbon losses, though natural wetlands provide superior ecosystem services. </w:t>
      </w:r>
    </w:p>
    <w:p w14:paraId="40F2733A">
      <w:pPr>
        <w:pStyle w:val="9"/>
        <w:spacing w:after="0" w:line="360" w:lineRule="auto"/>
        <w:jc w:val="both"/>
        <w:textAlignment w:val="baseline"/>
      </w:pPr>
      <w:r>
        <w:t xml:space="preserve">5. Monitoring and Adaptive Management: Establishing long-term monitoring programs that track SOC stocks, LULC change, hydrological conditions, and vegetation productivity at higher temporal frequency (annual to biennial) and greater spatial intensity than achieved in this study. Monitoring results should inform adaptive management responses that adjust conservation strategies based on observed trends and emerging threats. </w:t>
      </w:r>
    </w:p>
    <w:p w14:paraId="6F604233">
      <w:pPr>
        <w:pStyle w:val="9"/>
        <w:spacing w:after="0" w:line="360" w:lineRule="auto"/>
        <w:jc w:val="both"/>
        <w:textAlignment w:val="baseline"/>
      </w:pPr>
      <w:r>
        <w:t xml:space="preserve">3.11. Research Limitations and Future Directions </w:t>
      </w:r>
    </w:p>
    <w:p w14:paraId="43C4184E">
      <w:pPr>
        <w:pStyle w:val="9"/>
        <w:spacing w:after="0" w:line="360" w:lineRule="auto"/>
        <w:jc w:val="both"/>
        <w:textAlignment w:val="baseline"/>
      </w:pPr>
      <w:r>
        <w:t xml:space="preserve">Several limitations of this study warrant acknowledgment and suggest directions for future research. First, the temporal sampling strategy (single measurements in 1985 and 2025) prevents detection of non-linear SOC trajectories and intermediate changes. Higher-frequency sampling at 3-5 year intervals would enable identification of inflection points and quantification of change rates. Second, the spatial extent of soil sampling (nine locations) may not fully represent the heterogeneity of Haor wetlands, suggesting value in expanding sampling networks to include additional land use types and soil conditions. Third, the LULC analysis period (2017-2024) represents only the most recent phase of landscape change, potentially missing critical transitions that occurred during earlier periods. Integration of historical satellite imagery from the 1990s and 2000s using Landsat archive data would provide more complete understanding of LULC trajectories. Fourth, the apparent temporal stability of SOC stocks may partly reflect detection limits and measurement uncertainty, indicating need for more precise analytical methods and intensive sampling designs. Future research should address these limitations through: (1) establishment of permanent monitoring plots with annual to biennial sampling frequency; (2) depth-resolved SOC measurements extending beyond the 0-15 cm topsoil layer to quantify full-profile carbon stocks; (3) process-level studies quantifying carbon inputs, decomposition rates, and lateral transport under varying hydrological conditions; (4) socioeconomic research examining drivers of LULC change and identifying leverage points for conservation interventions; and (5) scenario modeling exploring future SOC trajectories under alternative climate, land use, and management pathways. </w:t>
      </w:r>
    </w:p>
    <w:p w14:paraId="3B6D12C4">
      <w:pPr>
        <w:pStyle w:val="7"/>
      </w:pPr>
      <w:r>
        <w:t xml:space="preserve">Lal, R. (2004). </w:t>
      </w:r>
      <w:r>
        <w:rPr>
          <w:rStyle w:val="5"/>
        </w:rPr>
        <w:t>Soil carbon sequestration impacts on global climate change and food security</w:t>
      </w:r>
      <w:r>
        <w:t xml:space="preserve">. </w:t>
      </w:r>
      <w:r>
        <w:rPr>
          <w:rStyle w:val="5"/>
        </w:rPr>
        <w:t>Science, 304</w:t>
      </w:r>
      <w:r>
        <w:t>(5677), 1623–1627. https://doi.org/10.1126/science.1097396</w:t>
      </w:r>
    </w:p>
    <w:p w14:paraId="6275C24B">
      <w:pPr>
        <w:pStyle w:val="7"/>
      </w:pPr>
      <w:r>
        <w:t xml:space="preserve">Pan, G., Li, L., Wu, L., &amp; Zhang, X. (2004). Storage and sequestration potential of topsoil organic carbon in China’s paddy soils. </w:t>
      </w:r>
      <w:r>
        <w:rPr>
          <w:rStyle w:val="5"/>
        </w:rPr>
        <w:t>Global Change Biology, 10</w:t>
      </w:r>
      <w:r>
        <w:t>(1), 79–92. https://doi.org/10.1111/j.1529-8817.2003.00723.x</w:t>
      </w:r>
    </w:p>
    <w:p w14:paraId="5AAB8FF6">
      <w:pPr>
        <w:pStyle w:val="7"/>
      </w:pPr>
      <w:r>
        <w:t xml:space="preserve">Six, J., Conant, R. T., Paul, E. A., &amp; Paustian, K. (2002). Stabilization mechanisms of soil organic matter: Implications for C-saturation of soils. </w:t>
      </w:r>
      <w:r>
        <w:rPr>
          <w:rStyle w:val="5"/>
        </w:rPr>
        <w:t>Plant and Soil, 241</w:t>
      </w:r>
      <w:r>
        <w:t xml:space="preserve">(2), 155–176. </w:t>
      </w:r>
      <w:r>
        <w:fldChar w:fldCharType="begin"/>
      </w:r>
      <w:r>
        <w:instrText xml:space="preserve"> HYPERLINK "https://doi.org/10.1023/A:1016125726789" </w:instrText>
      </w:r>
      <w:r>
        <w:fldChar w:fldCharType="separate"/>
      </w:r>
      <w:r>
        <w:rPr>
          <w:rStyle w:val="6"/>
        </w:rPr>
        <w:t>https://doi.org/10.1023/A:1016125726789</w:t>
      </w:r>
      <w:r>
        <w:rPr>
          <w:rStyle w:val="6"/>
        </w:rPr>
        <w:fldChar w:fldCharType="end"/>
      </w:r>
    </w:p>
    <w:p w14:paraId="75AD16AD">
      <w:pPr>
        <w:pStyle w:val="7"/>
      </w:pPr>
    </w:p>
    <w:p w14:paraId="5A77B5A2">
      <w:pPr>
        <w:pStyle w:val="7"/>
      </w:pPr>
    </w:p>
    <w:p w14:paraId="60B18ED3">
      <w:pPr>
        <w:pStyle w:val="7"/>
        <w:rPr>
          <w:rFonts w:hint="default" w:ascii="Times New Roman" w:hAnsi="Times New Roman" w:eastAsia="Segoe UI" w:cs="Times New Roman"/>
          <w:i w:val="0"/>
          <w:iCs w:val="0"/>
          <w:caps w:val="0"/>
          <w:color w:val="auto"/>
          <w:spacing w:val="0"/>
          <w:shd w:val="clear" w:color="auto" w:fill="auto"/>
        </w:rPr>
      </w:pPr>
      <w:r>
        <w:rPr>
          <w:rFonts w:hint="default" w:ascii="Times New Roman" w:hAnsi="Times New Roman" w:eastAsia="Segoe UI" w:cs="Times New Roman"/>
          <w:i w:val="0"/>
          <w:iCs w:val="0"/>
          <w:caps w:val="0"/>
          <w:color w:val="auto"/>
          <w:spacing w:val="0"/>
          <w:sz w:val="24"/>
          <w:szCs w:val="24"/>
          <w:shd w:val="clear" w:color="auto" w:fill="auto"/>
        </w:rPr>
        <w:t>Satellite-derived estimates of soil properties (pH, TN, SBD, Clay, and SOC) for 1988-2025 were calculated using Ridge regression with L2 regularization (alpha=1.0). Landsat spectral indices (NDVI, NDWI, BUI, LST) served as predictor variables. All features were standardized using StandardScaler (zero mean, unit variance) prior to model fitting. The models were calibrated using field measurements from 1985 and 2025. Predictions were generated for all years with complete satellite data (1988-2025).</w:t>
      </w:r>
    </w:p>
    <w:p w14:paraId="0075228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8"/>
          <w:rFonts w:hint="default" w:ascii="Times New Roman" w:hAnsi="Times New Roman" w:eastAsia="Segoe UI" w:cs="Times New Roman"/>
          <w:i w:val="0"/>
          <w:iCs w:val="0"/>
          <w:caps w:val="0"/>
          <w:color w:val="auto"/>
          <w:spacing w:val="0"/>
          <w:sz w:val="24"/>
          <w:szCs w:val="24"/>
          <w:shd w:val="clear" w:color="auto" w:fill="auto"/>
        </w:rPr>
        <w:t>Model</w:t>
      </w:r>
      <w:r>
        <w:rPr>
          <w:rFonts w:hint="default" w:ascii="Times New Roman" w:hAnsi="Times New Roman" w:eastAsia="Segoe UI" w:cs="Times New Roman"/>
          <w:i w:val="0"/>
          <w:iCs w:val="0"/>
          <w:caps w:val="0"/>
          <w:color w:val="auto"/>
          <w:spacing w:val="0"/>
          <w:sz w:val="24"/>
          <w:szCs w:val="24"/>
          <w:shd w:val="clear" w:color="auto" w:fill="auto"/>
        </w:rPr>
        <w:t>: Ridge (L2 regularization)</w:t>
      </w:r>
    </w:p>
    <w:p w14:paraId="1102402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8"/>
          <w:rFonts w:hint="default" w:ascii="Times New Roman" w:hAnsi="Times New Roman" w:eastAsia="Segoe UI" w:cs="Times New Roman"/>
          <w:i w:val="0"/>
          <w:iCs w:val="0"/>
          <w:caps w:val="0"/>
          <w:color w:val="auto"/>
          <w:spacing w:val="0"/>
          <w:sz w:val="24"/>
          <w:szCs w:val="24"/>
          <w:shd w:val="clear" w:color="auto" w:fill="auto"/>
        </w:rPr>
        <w:t>Alpha</w:t>
      </w:r>
      <w:r>
        <w:rPr>
          <w:rFonts w:hint="default" w:ascii="Times New Roman" w:hAnsi="Times New Roman" w:eastAsia="Segoe UI" w:cs="Times New Roman"/>
          <w:i w:val="0"/>
          <w:iCs w:val="0"/>
          <w:caps w:val="0"/>
          <w:color w:val="auto"/>
          <w:spacing w:val="0"/>
          <w:sz w:val="24"/>
          <w:szCs w:val="24"/>
          <w:shd w:val="clear" w:color="auto" w:fill="auto"/>
        </w:rPr>
        <w:t>: 1.0 (default strength)</w:t>
      </w:r>
    </w:p>
    <w:p w14:paraId="0772828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8"/>
          <w:rFonts w:hint="default" w:ascii="Times New Roman" w:hAnsi="Times New Roman" w:eastAsia="Segoe UI" w:cs="Times New Roman"/>
          <w:i w:val="0"/>
          <w:iCs w:val="0"/>
          <w:caps w:val="0"/>
          <w:color w:val="auto"/>
          <w:spacing w:val="0"/>
          <w:sz w:val="24"/>
          <w:szCs w:val="24"/>
          <w:shd w:val="clear" w:color="auto" w:fill="auto"/>
        </w:rPr>
        <w:t>Scaler</w:t>
      </w:r>
      <w:r>
        <w:rPr>
          <w:rFonts w:hint="default" w:ascii="Times New Roman" w:hAnsi="Times New Roman" w:eastAsia="Segoe UI" w:cs="Times New Roman"/>
          <w:i w:val="0"/>
          <w:iCs w:val="0"/>
          <w:caps w:val="0"/>
          <w:color w:val="auto"/>
          <w:spacing w:val="0"/>
          <w:sz w:val="24"/>
          <w:szCs w:val="24"/>
          <w:shd w:val="clear" w:color="auto" w:fill="auto"/>
        </w:rPr>
        <w:t>: StandardScaler</w:t>
      </w:r>
    </w:p>
    <w:p w14:paraId="2710CA5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8"/>
          <w:rFonts w:hint="default" w:ascii="Times New Roman" w:hAnsi="Times New Roman" w:eastAsia="Segoe UI" w:cs="Times New Roman"/>
          <w:i w:val="0"/>
          <w:iCs w:val="0"/>
          <w:caps w:val="0"/>
          <w:color w:val="auto"/>
          <w:spacing w:val="0"/>
          <w:sz w:val="24"/>
          <w:szCs w:val="24"/>
          <w:shd w:val="clear" w:color="auto" w:fill="auto"/>
        </w:rPr>
        <w:t>Training samples</w:t>
      </w:r>
      <w:r>
        <w:rPr>
          <w:rFonts w:hint="default" w:ascii="Times New Roman" w:hAnsi="Times New Roman" w:eastAsia="Segoe UI" w:cs="Times New Roman"/>
          <w:i w:val="0"/>
          <w:iCs w:val="0"/>
          <w:caps w:val="0"/>
          <w:color w:val="auto"/>
          <w:spacing w:val="0"/>
          <w:sz w:val="24"/>
          <w:szCs w:val="24"/>
          <w:shd w:val="clear" w:color="auto" w:fill="auto"/>
        </w:rPr>
        <w:t>: 2 (1985 &amp; 2025)</w:t>
      </w:r>
    </w:p>
    <w:p w14:paraId="70D43E3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8"/>
          <w:rFonts w:hint="default" w:ascii="Times New Roman" w:hAnsi="Times New Roman" w:eastAsia="Segoe UI" w:cs="Times New Roman"/>
          <w:i w:val="0"/>
          <w:iCs w:val="0"/>
          <w:caps w:val="0"/>
          <w:color w:val="auto"/>
          <w:spacing w:val="0"/>
          <w:sz w:val="24"/>
          <w:szCs w:val="24"/>
          <w:shd w:val="clear" w:color="auto" w:fill="auto"/>
        </w:rPr>
        <w:t>Prediction samples</w:t>
      </w:r>
      <w:r>
        <w:rPr>
          <w:rFonts w:hint="default" w:ascii="Times New Roman" w:hAnsi="Times New Roman" w:eastAsia="Segoe UI" w:cs="Times New Roman"/>
          <w:i w:val="0"/>
          <w:iCs w:val="0"/>
          <w:caps w:val="0"/>
          <w:color w:val="auto"/>
          <w:spacing w:val="0"/>
          <w:sz w:val="24"/>
          <w:szCs w:val="24"/>
          <w:shd w:val="clear" w:color="auto" w:fill="auto"/>
        </w:rPr>
        <w:t>: 38 (1988-2025)</w:t>
      </w:r>
    </w:p>
    <w:p w14:paraId="5CCCD34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color w:val="auto"/>
          <w:sz w:val="24"/>
          <w:szCs w:val="24"/>
          <w:shd w:val="clear" w:color="auto" w:fill="auto"/>
        </w:rPr>
      </w:pPr>
      <w:r>
        <w:rPr>
          <w:rStyle w:val="8"/>
          <w:rFonts w:hint="default" w:ascii="Times New Roman" w:hAnsi="Times New Roman" w:eastAsia="Segoe UI" w:cs="Times New Roman"/>
          <w:i w:val="0"/>
          <w:iCs w:val="0"/>
          <w:caps w:val="0"/>
          <w:color w:val="auto"/>
          <w:spacing w:val="0"/>
          <w:sz w:val="24"/>
          <w:szCs w:val="24"/>
          <w:shd w:val="clear" w:color="auto" w:fill="auto"/>
        </w:rPr>
        <w:t>Features</w:t>
      </w:r>
      <w:r>
        <w:rPr>
          <w:rFonts w:hint="default" w:ascii="Times New Roman" w:hAnsi="Times New Roman" w:eastAsia="Segoe UI" w:cs="Times New Roman"/>
          <w:i w:val="0"/>
          <w:iCs w:val="0"/>
          <w:caps w:val="0"/>
          <w:color w:val="auto"/>
          <w:spacing w:val="0"/>
          <w:sz w:val="24"/>
          <w:szCs w:val="24"/>
          <w:shd w:val="clear" w:color="auto" w:fill="auto"/>
        </w:rPr>
        <w:t>: 4 (NDVI, NDWI, BUI, LST)</w:t>
      </w:r>
    </w:p>
    <w:p w14:paraId="7475D77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Segoe UI" w:cs="Times New Roman"/>
          <w:i w:val="0"/>
          <w:iCs w:val="0"/>
          <w:caps w:val="0"/>
          <w:color w:val="auto"/>
          <w:spacing w:val="0"/>
          <w:sz w:val="24"/>
          <w:szCs w:val="24"/>
          <w:shd w:val="clear" w:color="auto" w:fill="auto"/>
        </w:rPr>
      </w:pPr>
      <w:r>
        <w:rPr>
          <w:rStyle w:val="8"/>
          <w:rFonts w:hint="default" w:ascii="Times New Roman" w:hAnsi="Times New Roman" w:eastAsia="Segoe UI" w:cs="Times New Roman"/>
          <w:i w:val="0"/>
          <w:iCs w:val="0"/>
          <w:caps w:val="0"/>
          <w:color w:val="auto"/>
          <w:spacing w:val="0"/>
          <w:sz w:val="24"/>
          <w:szCs w:val="24"/>
          <w:shd w:val="clear" w:color="auto" w:fill="auto"/>
        </w:rPr>
        <w:t>Target models</w:t>
      </w:r>
      <w:r>
        <w:rPr>
          <w:rFonts w:hint="default" w:ascii="Times New Roman" w:hAnsi="Times New Roman" w:eastAsia="Segoe UI" w:cs="Times New Roman"/>
          <w:i w:val="0"/>
          <w:iCs w:val="0"/>
          <w:caps w:val="0"/>
          <w:color w:val="auto"/>
          <w:spacing w:val="0"/>
          <w:sz w:val="24"/>
          <w:szCs w:val="24"/>
          <w:shd w:val="clear" w:color="auto" w:fill="auto"/>
        </w:rPr>
        <w:t>: 5 (SOC, pH, TN, SBD, Clay)</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Rockwell Condensed">
    <w:panose1 w:val="02060603050405020104"/>
    <w:charset w:val="00"/>
    <w:family w:val="auto"/>
    <w:pitch w:val="default"/>
    <w:sig w:usb0="00000003" w:usb1="00000000" w:usb2="00000000" w:usb3="00000000" w:csb0="20000001" w:csb1="00000000"/>
  </w:font>
  <w:font w:name="Poor Richard">
    <w:panose1 w:val="02080502050505020702"/>
    <w:charset w:val="00"/>
    <w:family w:val="auto"/>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024B78"/>
    <w:multiLevelType w:val="multilevel"/>
    <w:tmpl w:val="ED024B7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2"/>
  </w:compat>
  <w:rsids>
    <w:rsidRoot w:val="008B335B"/>
    <w:rsid w:val="00015EF7"/>
    <w:rsid w:val="000611C4"/>
    <w:rsid w:val="00087E99"/>
    <w:rsid w:val="000C5030"/>
    <w:rsid w:val="000F076E"/>
    <w:rsid w:val="000F5662"/>
    <w:rsid w:val="001155A0"/>
    <w:rsid w:val="001868D5"/>
    <w:rsid w:val="001D7842"/>
    <w:rsid w:val="002E5A34"/>
    <w:rsid w:val="004E010C"/>
    <w:rsid w:val="004F0958"/>
    <w:rsid w:val="005006FE"/>
    <w:rsid w:val="0052040C"/>
    <w:rsid w:val="005453CA"/>
    <w:rsid w:val="005A1DB9"/>
    <w:rsid w:val="0061223B"/>
    <w:rsid w:val="00620749"/>
    <w:rsid w:val="00631C1C"/>
    <w:rsid w:val="00633885"/>
    <w:rsid w:val="006D2771"/>
    <w:rsid w:val="006E26E3"/>
    <w:rsid w:val="006F38A2"/>
    <w:rsid w:val="00713B14"/>
    <w:rsid w:val="00733420"/>
    <w:rsid w:val="007A607D"/>
    <w:rsid w:val="007D33C7"/>
    <w:rsid w:val="00827819"/>
    <w:rsid w:val="00891DB6"/>
    <w:rsid w:val="00894AEB"/>
    <w:rsid w:val="008B335B"/>
    <w:rsid w:val="008B3DB6"/>
    <w:rsid w:val="008C76B5"/>
    <w:rsid w:val="008F24EA"/>
    <w:rsid w:val="009443F2"/>
    <w:rsid w:val="0094758C"/>
    <w:rsid w:val="009D5410"/>
    <w:rsid w:val="009D596F"/>
    <w:rsid w:val="00A00F05"/>
    <w:rsid w:val="00A11DB5"/>
    <w:rsid w:val="00A30E05"/>
    <w:rsid w:val="00AC675D"/>
    <w:rsid w:val="00AF1B9F"/>
    <w:rsid w:val="00B12BC6"/>
    <w:rsid w:val="00B53E72"/>
    <w:rsid w:val="00B54B02"/>
    <w:rsid w:val="00B601D8"/>
    <w:rsid w:val="00B95A66"/>
    <w:rsid w:val="00BD2703"/>
    <w:rsid w:val="00BE2409"/>
    <w:rsid w:val="00BE5CEE"/>
    <w:rsid w:val="00BF256F"/>
    <w:rsid w:val="00D2250F"/>
    <w:rsid w:val="00D565A5"/>
    <w:rsid w:val="00E17C46"/>
    <w:rsid w:val="00E67B1B"/>
    <w:rsid w:val="00E7209E"/>
    <w:rsid w:val="00F965C2"/>
    <w:rsid w:val="076C4259"/>
    <w:rsid w:val="25101CDA"/>
    <w:rsid w:val="6DFC0A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Emphasis"/>
    <w:basedOn w:val="3"/>
    <w:qFormat/>
    <w:uiPriority w:val="20"/>
    <w:rPr>
      <w:i/>
      <w:iCs/>
    </w:rPr>
  </w:style>
  <w:style w:type="character" w:styleId="6">
    <w:name w:val="Hyperlink"/>
    <w:basedOn w:val="3"/>
    <w:unhideWhenUsed/>
    <w:uiPriority w:val="99"/>
    <w:rPr>
      <w:color w:val="0563C1" w:themeColor="hyperlink"/>
      <w:u w:val="single"/>
    </w:rPr>
  </w:style>
  <w:style w:type="paragraph" w:styleId="7">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8">
    <w:name w:val="Strong"/>
    <w:basedOn w:val="3"/>
    <w:qFormat/>
    <w:uiPriority w:val="22"/>
    <w:rPr>
      <w:b/>
      <w:bCs/>
    </w:rPr>
  </w:style>
  <w:style w:type="paragraph" w:customStyle="1" w:styleId="9">
    <w:name w:val="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10">
    <w:name w:val="normaltextrun"/>
    <w:basedOn w:val="3"/>
    <w:uiPriority w:val="0"/>
  </w:style>
  <w:style w:type="character" w:customStyle="1" w:styleId="11">
    <w:name w:val="eop"/>
    <w:basedOn w:val="3"/>
    <w:uiPriority w:val="0"/>
  </w:style>
  <w:style w:type="character" w:customStyle="1" w:styleId="12">
    <w:name w:val="textrun"/>
    <w:basedOn w:val="3"/>
    <w:uiPriority w:val="0"/>
  </w:style>
  <w:style w:type="character" w:customStyle="1" w:styleId="13">
    <w:name w:val="Unresolved Mention"/>
    <w:basedOn w:val="3"/>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89596-D542-43C7-88FF-D3D5624EB2D6}">
  <ds:schemaRefs/>
</ds:datastoreItem>
</file>

<file path=docProps/app.xml><?xml version="1.0" encoding="utf-8"?>
<Properties xmlns="http://schemas.openxmlformats.org/officeDocument/2006/extended-properties" xmlns:vt="http://schemas.openxmlformats.org/officeDocument/2006/docPropsVTypes">
  <Template>Normal</Template>
  <Pages>15</Pages>
  <Words>5140</Words>
  <Characters>29300</Characters>
  <Lines>244</Lines>
  <Paragraphs>68</Paragraphs>
  <TotalTime>5515</TotalTime>
  <ScaleCrop>false</ScaleCrop>
  <LinksUpToDate>false</LinksUpToDate>
  <CharactersWithSpaces>34372</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2025-11-26T12:26:00Z</dcterms:created>
  <dc:creator>Anomita Faiz</dc:creator>
  <cp:lastModifiedBy>mdakb</cp:lastModifiedBy>
  <dcterms:modified xsi:type="dcterms:W3CDTF">2025-12-12T15:25:37Z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81A881CF486B4DB5BD0AA62A4723AC80_12</vt:lpwstr>
  </property>
</Properties>
</file>