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graph neural network;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with an interval of 18.2 to 41.1 %.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https://doi.org/10.5281/zenodo.23267002</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five regions, including the Hill Tracts,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267002"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267002"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2026-10-22T18:04:57Z</dcterms:created>
  <dcterms:modified xsi:type="dcterms:W3CDTF">2026-10-22T18:04:57Z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