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Weather and river forecasts are routinely scored against persistence, yet those figures are rarely set against its equivalent, which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The comparison therefore has an answer that depends on the flood regime rather than a single verdict.</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was no stronger a rival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https://doi.org/10.5281/zenodo.23573843. A Supporting Information file gives the full pipeline settings and a sensitivity analysis of the risk weights.</w:t>
      </w:r>
    </w:p>
    <w:p>
      <w:pPr>
        <w:pStyle w:val="BodyText"/>
      </w:pPr>
      <w:r>
        <w:t xml:space="preserve">The main text runs to just under 6,000 words, excluding references, figures and tables, with 6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2026-10-22T19:48:02Z</dcterms:created>
  <dcterms:modified xsi:type="dcterms:W3CDTF">2026-10-22T19:48:02Z</dcterms:modified>
</cp:coreProperties>
</file>

<file path=docProps/custom.xml><?xml version="1.0" encoding="utf-8"?>
<Properties xmlns="http://schemas.openxmlformats.org/officeDocument/2006/custom-properties" xmlns:vt="http://schemas.openxmlformats.org/officeDocument/2006/docPropsVTypes"/>
</file>