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0b935b031fc3d589964603713bf844fc60db52"/>
    <w:p>
      <w:pPr>
        <w:pStyle w:val="Heading1"/>
      </w:pPr>
      <w:r>
        <w:t xml:space="preserve">Do flood susceptibility models know more than the flood record? Evidence from radar-observed floods in Bangladesh</w:t>
      </w:r>
    </w:p>
    <w:p>
      <w:pPr>
        <w:pStyle w:val="FirstParagraph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Flood records and susceptibility models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Md Rakib Hasan</w:t>
      </w:r>
      <w:r>
        <w:rPr>
          <w:vertAlign w:val="superscript"/>
        </w:rPr>
        <w:t xml:space="preserve">1,2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Soil, Water and Environment, University of Dhaka, Dhaka-1000, Bangladesh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Fermium Systems, Dhaka-1207, Bangladesh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0009-0002-4007-7590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Md Rakib Hasan, rakibhhridoy@fermium.systems</w: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received no specific funding for this work. Infrastructure data are © OpenStreetMap contributors, under the Open Database Licence. Population data are from WorldPop, University of Southampton, CC BY 4.0. Administrative boundaries are from geoBoundaries, William &amp; Mary geoLab, CC BY 4.0. Neighbouring country outlines in Figure 1 are from Natural Earth, in the public domain. Surface-water occurrence is from the Joint Research Centre of the European Commission</w:t>
      </w:r>
      <w:r>
        <w:t xml:space="preserve"> </w:t>
      </w:r>
      <w:r>
        <w:t xml:space="preserve">(Pekel et al., 2016)</w:t>
      </w:r>
      <w:r>
        <w:t xml:space="preserve">. Elevation is from the NASA Shuttle Radar Topography Mission. Sentinel-1 data are from the Copernicus programme of the European Union. The system was first developed for the RIMES Mapathon, ResilienceAI track.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2026-10-22T19:48:02Z</dcterms:created>
  <dcterms:modified xsi:type="dcterms:W3CDTF">2026-10-22T19:48:02Z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/Volumes/SSD Rx/Research/mapathon/docs/paper/references.bib</vt:lpwstr>
  </property>
  <property fmtid="{D5CDD505-2E9C-101B-9397-08002B2CF9AE}" pid="3" name="csl">
    <vt:lpwstr>/Volumes/SSD Rx/Research/mapathon/docs/paper/submission/apa.csl</vt:lpwstr>
  </property>
  <property fmtid="{D5CDD505-2E9C-101B-9397-08002B2CF9AE}" pid="4" name="suppress-bibliography">
    <vt:lpwstr>True</vt:lpwstr>
  </property>
</Properties>
</file>