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0.801 in Rangpur and Rajshahi and 0.797 in Sylhet, below the record of earlier flooding at 0.896 and 0.851, although in Sylhet the gap closed when the model learned the same target as the test. Given that record as a feature, the model beat both in Rangpur and Rajshahi, at 0.924, because terrain still ranks the ground no earlier flood reached, while in Sylhet it matched the record at 0.849. On the south-west coast, where most assets flooded by the 2024 cyclone stood on ground that had not flooded before, the model beat the record, at 0.807 against 0.668, although that lead fell within noise with wider blocks. Training on radar-observed extents rather than terrain-threshold labels raised the AUC by 0.101, 0.087 and 0.080 on held-out areas and by 0.069, 0.024 and 0.071 on the 2024 floods, the Sylhet gain within noise.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The regions differ in how water arrives.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losing nothing measurable by leaving out 2024 in Rangpur and Rajshahi (</w:t>
      </w:r>
      <m:oMath>
        <m:r>
          <m:t>p</m:t>
        </m:r>
        <m:r>
          <m:rPr>
            <m:sty m:val="p"/>
          </m:rPr>
          <m:t>=</m:t>
        </m:r>
        <m:r>
          <m:t>0.281</m:t>
        </m:r>
      </m:oMath>
      <w:r>
        <w:t xml:space="preserve">) or on the coast, where it lost 0.028 (</w:t>
      </w:r>
      <m:oMath>
        <m:r>
          <m:t>p</m:t>
        </m:r>
        <m:r>
          <m:rPr>
            <m:sty m:val="p"/>
          </m:rPr>
          <m:t>=</m:t>
        </m:r>
        <m:r>
          <m:t>0.052</m:t>
        </m:r>
      </m:oMath>
      <w:r>
        <w:t xml:space="preserve">), and 0.053 in Sylhet (</w:t>
      </w:r>
      <m:oMath>
        <m:r>
          <m:t>p</m:t>
        </m:r>
        <m:r>
          <m:rPr>
            <m:sty m:val="p"/>
          </m:rPr>
          <m:t>=</m:t>
        </m:r>
        <m:r>
          <m:t>0.020</m:t>
        </m:r>
      </m:oMath>
      <w:r>
        <w:t xml:space="preserve">). In both riverine regions the record of earlier flooding ranks the 2024 flooding better, at 0.896 and 0.851, with the model ahead on only 2 and 4 of 20 assignments, whereas on the coast the model leads, at 0.807 against 0.668, a lead that does not survive wider blocks (Section 5.5). Riverine flooding returns to much the same ground, and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 (20.4–31.2 % against 13.3–34.1 %).</w:t>
      </w:r>
    </w:p>
    <w:p>
      <w:pPr>
        <w:pStyle w:val="BodyText"/>
      </w:pPr>
      <w:r>
        <w:t xml:space="preserve">The record and the 2024 floods come from the same change detection, so ground that radar mistakes for water every monsoon, such as wet paddy, would favour the record. Without the ground flagged in every earlier event, and again without ground the JRC record has ever seen under water, the record’s lead in Rangpur and Rajshahi narrowed to 0.063 and 0.071, within noise (</w:t>
      </w:r>
      <m:oMath>
        <m:r>
          <m:t>p</m:t>
        </m:r>
        <m:r>
          <m:rPr>
            <m:sty m:val="p"/>
          </m:rPr>
          <m:t>=</m:t>
        </m:r>
        <m:r>
          <m:t>0.130</m:t>
        </m:r>
      </m:oMath>
      <w:r>
        <w:t xml:space="preserve"> </w:t>
      </w:r>
      <w:r>
        <w:t xml:space="preserve">and</w:t>
      </w:r>
      <w:r>
        <w:t xml:space="preserve"> </w:t>
      </w:r>
      <m:oMath>
        <m:r>
          <m:t>p</m:t>
        </m:r>
        <m:r>
          <m:rPr>
            <m:sty m:val="p"/>
          </m:rPr>
          <m:t>=</m:t>
        </m:r>
        <m:r>
          <m:t>0.146</m:t>
        </m:r>
      </m:oMath>
      <w:r>
        <w:t xml:space="preserve">) but not reversed, whereas in Sylhet outside recorded water the model and the record were level, at 0.799 and 0.794 (Supporting Information, Section S5). On the coast the model’s lead held.</w:t>
      </w:r>
    </w:p>
    <w:p>
      <w:pPr>
        <w:pStyle w:val="BodyText"/>
      </w:pPr>
      <w:r>
        <w:t xml:space="preserve">Sentinel-1B failed in December 2021, so the earlier events were seen by two satellites and the 2024 ones by one, and since each mask takes the lowest backscatter in its window, more scenes can map more flooding. Re-mapped from Sentinel-1A alone, the earlier Rangpur and Rajshahi events shrank by up to 15.7 %, yet the record still led by 0.097 (</w:t>
      </w:r>
      <m:oMath>
        <m:r>
          <m:t>p</m:t>
        </m:r>
        <m:r>
          <m:rPr>
            <m:sty m:val="p"/>
          </m:rPr>
          <m:t>=</m:t>
        </m:r>
        <m:r>
          <m:t>0.005</m:t>
        </m:r>
      </m:oMath>
      <w:r>
        <w:t xml:space="preserve">), and in Sylhet Sentinel-1B had added no scenes. The model also learns a yes-or-no label from the earlier events while the record keeps their fraction, so it was retrained on flooding in any earlier event, which is how the 2024 floods are counted, and on the fraction itself. In Rangpur and Rajshahi the record’s lead grew, to 0.133 and 0.131, whereas in Sylhet it fell to 0.017 and 0.016 (</w:t>
      </w:r>
      <m:oMath>
        <m:r>
          <m:t>p</m:t>
        </m:r>
        <m:r>
          <m:rPr>
            <m:sty m:val="p"/>
          </m:rPr>
          <m:t>=</m:t>
        </m:r>
        <m:r>
          <m:t>0.441</m:t>
        </m:r>
      </m:oMath>
      <w:r>
        <w:t xml:space="preserve"> </w:t>
      </w:r>
      <w:r>
        <w:t xml:space="preserve">and</w:t>
      </w:r>
      <w:r>
        <w:t xml:space="preserve"> </w:t>
      </w:r>
      <m:oMath>
        <m:r>
          <m:t>p</m:t>
        </m:r>
        <m:r>
          <m:rPr>
            <m:sty m:val="p"/>
          </m:rPr>
          <m:t>=</m:t>
        </m:r>
        <m:r>
          <m:t>0.401</m:t>
        </m:r>
      </m:oMath>
      <w:r>
        <w:t xml:space="preserve">), so the Sylhet result rests on the choice of training target.</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w:t>
      </w:r>
      <m:oMath>
        <m:r>
          <m:t>p</m:t>
        </m:r>
        <m:r>
          <m:rPr>
            <m:sty m:val="p"/>
          </m:rPr>
          <m:t>=</m:t>
        </m:r>
        <m:r>
          <m:t>0.013</m:t>
        </m:r>
      </m:oMath>
      <w:r>
        <w:t xml:space="preserve">,</w:t>
      </w:r>
      <w:r>
        <w:t xml:space="preserve"> </w:t>
      </w:r>
      <m:oMath>
        <m:r>
          <m:t>p</m:t>
        </m:r>
        <m:r>
          <m:rPr>
            <m:sty m:val="p"/>
          </m:rPr>
          <m:t>=</m:t>
        </m:r>
        <m:r>
          <m:t>0.333</m:t>
        </m:r>
      </m:oMath>
      <w:r>
        <w:t xml:space="preserve"> </w:t>
      </w:r>
      <w:r>
        <w:t xml:space="preserve">and</w:t>
      </w:r>
      <w:r>
        <w:t xml:space="preserve"> </w:t>
      </w:r>
      <m:oMath>
        <m:r>
          <m:t>p</m:t>
        </m:r>
        <m:r>
          <m:rPr>
            <m:sty m:val="p"/>
          </m:rPr>
          <m:t>=</m:t>
        </m:r>
        <m:r>
          <m:t>0.004</m:t>
        </m:r>
      </m:oMath>
      <w:r>
        <w:t xml:space="preserve">).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riverine finding grows rather than shrinks, with the record of earlier flooding leading the model at 40 km by 0.126 in Rangpur and Rajshahi and 0.073 in Sylhet (</w:t>
      </w:r>
      <m:oMath>
        <m:r>
          <m:t>p</m:t>
        </m:r>
        <m:r>
          <m:rPr>
            <m:sty m:val="p"/>
          </m:rPr>
          <m:t>=</m:t>
        </m:r>
        <m:r>
          <m:t>0.004</m:t>
        </m:r>
      </m:oMath>
      <w:r>
        <w:t xml:space="preserve"> </w:t>
      </w:r>
      <w:r>
        <w:t xml:space="preserve">and</w:t>
      </w:r>
      <w:r>
        <w:t xml:space="preserve"> </w:t>
      </w:r>
      <m:oMath>
        <m:r>
          <m:t>p</m:t>
        </m:r>
        <m:r>
          <m:rPr>
            <m:sty m:val="p"/>
          </m:rPr>
          <m:t>=</m:t>
        </m:r>
        <m:r>
          <m:t>0.017</m:t>
        </m:r>
      </m:oMath>
      <w:r>
        <w:t xml:space="preserve">), against 0.094 and 0.054 at 10 km (over 15 usable assignments in Sylhet). The coastal finding does not survive, since the model’s lead over the record falls from 0.138 to 0.079 at 20 km and 0.053 at 40 km, where it can no longer be told apart from noise (</w:t>
      </w:r>
      <m:oMath>
        <m:r>
          <m:t>p</m:t>
        </m:r>
        <m:r>
          <m:rPr>
            <m:sty m:val="p"/>
          </m:rPr>
          <m:t>=</m:t>
        </m:r>
        <m:r>
          <m:t>0.182</m:t>
        </m:r>
      </m:oMath>
      <w:r>
        <w:t xml:space="preserve"> </w:t>
      </w:r>
      <w:r>
        <w:t xml:space="preserve">and</w:t>
      </w:r>
      <w:r>
        <w:t xml:space="preserve"> </w:t>
      </w:r>
      <m:oMath>
        <m:r>
          <m:t>p</m:t>
        </m:r>
        <m:r>
          <m:rPr>
            <m:sty m:val="p"/>
          </m:rPr>
          <m:t>=</m:t>
        </m:r>
        <m:r>
          <m:t>0.423</m:t>
        </m:r>
      </m:oMath>
      <w:r>
        <w:t xml:space="preserve">).</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but measurably only in Rangpur and Rajshahi, by 0.028 in AUC (</w:t>
      </w:r>
      <m:oMath>
        <m:r>
          <m:t>p</m:t>
        </m:r>
        <m:r>
          <m:rPr>
            <m:sty m:val="p"/>
          </m:rPr>
          <m:t>=</m:t>
        </m:r>
        <m:r>
          <m:t>0.003</m:t>
        </m:r>
      </m:oMath>
      <w:r>
        <w:t xml:space="preserve">, ahead on 2 of 20 assignments), while its gaps of 0.022 on the coast (</w:t>
      </w:r>
      <m:oMath>
        <m:r>
          <m:t>p</m:t>
        </m:r>
        <m:r>
          <m:rPr>
            <m:sty m:val="p"/>
          </m:rPr>
          <m:t>=</m:t>
        </m:r>
        <m:r>
          <m:t>0.243</m:t>
        </m:r>
      </m:oMath>
      <w:r>
        <w:t xml:space="preserve">, ahead on 6) and 0.003 in Sylhet (</w:t>
      </w:r>
      <m:oMath>
        <m:r>
          <m:t>p</m:t>
        </m:r>
        <m:r>
          <m:rPr>
            <m:sty m:val="p"/>
          </m:rPr>
          <m:t>=</m:t>
        </m:r>
        <m:r>
          <m:t>0.832</m:t>
        </m:r>
      </m:oMath>
      <w:r>
        <w:t xml:space="preserve">, ahead on 7) are within noise. Gradient boosting scores best in every region, although in Sylhet logistic regression, the graph network and the random forest all come within 0.012 of it.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3"/>
    <w:bookmarkStart w:id="34"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Rangpur and Rajshahi it did not under any check applied here, whereas in Sylhet the record’s lead held for the published training target but disappeared when the model learned the same target as the test, and outside the haor’s seasonal water. Given that record as a feature, the model beat both in Rangpur and Rajshahi, gaining on ground no earlier flood had reached, where the record cannot rank at all. In Sylhet it matched the record without improving on it. The record marks where water returns and the terrain ranks where it has not yet been seen, so a susceptibility map for a river basin with a radar flood history should at least report the record beside it, and where the record is informative the two can be combined. The riverine lead also widened when the blocks grew to 40 km, so it does not depend on the choice of block size. On the coast, where most of the ground Cyclone Remal flooded had not flooded in the earlier cyclones, the model trained on those cyclones did best, but its lead fell within noise once the blocks widened, so the coastal comparison remains open. A study that reports accuracy without the past-flooding reference cannot show that its model knows more than the flood record already does, and the two are simple to compare wherever Sentinel-1 has observed earlier floods.</w:t>
      </w:r>
    </w:p>
    <w:bookmarkEnd w:id="34"/>
    <w:bookmarkStart w:id="35"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the best tabular model in every region, measurably so only in Rangpur and Rajshahi, and within noise on the coast and in Sylhet. A likely reason is that the features already carry the neighbourhood, since nearby assets share elevation and distances to the same roads, schools and shelters, the access distances rank alongside or ahead of elevation, and a tree can split on those values directly, although this was not tested. Kriging fared no better, and in Sylhet, where it smoothed the scores towards the regional average, it ranked observed flooding across the whole grid at 0.544 against 0.822 for the terrain surface. At this scale neither linking assets into a graph nor interpolating between them consistently improved spatial prediction, and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at least as good a guide to the next riverine flood as a terrain model alone, and in Rangpur and Rajshahi a better 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weak there, the terrain surface reaching 0.610 on held-out ground,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and setting aside the ground most exposed to a repeated error narrowed the record’s lead in Rangpur and Rajshahi to within noise without reversing it (Section 5.4).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0.101, 0.087 and 0.080 in AUC on held-out ground and by 0.069, 0.024 and 0.071 against later floods, which bears on how any map trained and scored against terrain-derived labels should be read. In Rangpur and Rajshahi the record of earlier floods predicted the 2024 flooding better than the model under every check applied, and in Sylhet only for the published training target, and in Rangpur and Rajshahi a model given that record as a feature beat both, reaching 0.924, while in Sylhet it matched the record. Ordinary tabular models matched or beat a graph neural network, with elevation and the access distances carrying the signal.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14" w:name="references"/>
    <w:p>
      <w:pPr>
        <w:pStyle w:val="Heading1"/>
      </w:pPr>
      <w:r>
        <w:t xml:space="preserve">References</w:t>
      </w:r>
    </w:p>
    <w:bookmarkStart w:id="11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5">
        <w:r>
          <w:rPr>
            <w:rStyle w:val="Hyperlink"/>
          </w:rPr>
          <w:t xml:space="preserve">https://doi.org/10.2760/094023</w:t>
        </w:r>
      </w:hyperlink>
    </w:p>
    <w:bookmarkEnd w:id="56"/>
    <w:bookmarkStart w:id="5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7">
        <w:r>
          <w:rPr>
            <w:rStyle w:val="Hyperlink"/>
          </w:rPr>
          <w:t xml:space="preserve">https://arxiv.org/abs/1706.02216</w:t>
        </w:r>
      </w:hyperlink>
    </w:p>
    <w:bookmarkEnd w:id="58"/>
    <w:bookmarkStart w:id="60"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59">
        <w:r>
          <w:rPr>
            <w:rStyle w:val="Hyperlink"/>
          </w:rPr>
          <w:t xml:space="preserve">https://doi.org/10.1088/1748-9326/ac4d4f</w:t>
        </w:r>
      </w:hyperlink>
    </w:p>
    <w:bookmarkEnd w:id="60"/>
    <w:bookmarkStart w:id="62"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61">
        <w:r>
          <w:rPr>
            <w:rStyle w:val="Hyperlink"/>
          </w:rPr>
          <w:t xml:space="preserve">https://doi.org/10.1038/s41467-023-39698-6</w:t>
        </w:r>
      </w:hyperlink>
    </w:p>
    <w:bookmarkEnd w:id="62"/>
    <w:bookmarkStart w:id="64"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3">
        <w:r>
          <w:rPr>
            <w:rStyle w:val="Hyperlink"/>
          </w:rPr>
          <w:t xml:space="preserve">https://doi.org/10.1016/j.gsf.2020.09.006</w:t>
        </w:r>
      </w:hyperlink>
    </w:p>
    <w:bookmarkEnd w:id="64"/>
    <w:bookmarkStart w:id="66"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5">
        <w:r>
          <w:rPr>
            <w:rStyle w:val="Hyperlink"/>
          </w:rPr>
          <w:t xml:space="preserve">https://doi.org/10.1016/j.envc.2023.100833</w:t>
        </w:r>
      </w:hyperlink>
    </w:p>
    <w:bookmarkEnd w:id="66"/>
    <w:bookmarkStart w:id="68"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7">
        <w:r>
          <w:rPr>
            <w:rStyle w:val="Hyperlink"/>
          </w:rPr>
          <w:t xml:space="preserve">https://doi.org/10.1038/s41467-019-10442-3</w:t>
        </w:r>
      </w:hyperlink>
    </w:p>
    <w:bookmarkEnd w:id="68"/>
    <w:bookmarkStart w:id="70"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9">
        <w:r>
          <w:rPr>
            <w:rStyle w:val="Hyperlink"/>
          </w:rPr>
          <w:t xml:space="preserve">https://doi.org/10.1016/j.catena.2025.109029</w:t>
        </w:r>
      </w:hyperlink>
    </w:p>
    <w:bookmarkEnd w:id="70"/>
    <w:bookmarkStart w:id="72"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1">
        <w:r>
          <w:rPr>
            <w:rStyle w:val="Hyperlink"/>
          </w:rPr>
          <w:t xml:space="preserve">https://doi.org/10.1023/A:1024068626366</w:t>
        </w:r>
      </w:hyperlink>
    </w:p>
    <w:bookmarkEnd w:id="72"/>
    <w:bookmarkStart w:id="74"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3">
        <w:r>
          <w:rPr>
            <w:rStyle w:val="Hyperlink"/>
          </w:rPr>
          <w:t xml:space="preserve">https://doi.org/10.1145/1102351.1102430</w:t>
        </w:r>
      </w:hyperlink>
    </w:p>
    <w:bookmarkEnd w:id="74"/>
    <w:bookmarkStart w:id="76"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5">
        <w:r>
          <w:rPr>
            <w:rStyle w:val="Hyperlink"/>
          </w:rPr>
          <w:t xml:space="preserve">https://doi.org/10.1016/j.jhydrol.2011.03.051</w:t>
        </w:r>
      </w:hyperlink>
    </w:p>
    <w:bookmarkEnd w:id="76"/>
    <w:bookmarkStart w:id="78"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7">
        <w:r>
          <w:rPr>
            <w:rStyle w:val="Hyperlink"/>
          </w:rPr>
          <w:t xml:space="preserve">https://doi.org/10.1038/nature20584</w:t>
        </w:r>
      </w:hyperlink>
    </w:p>
    <w:bookmarkEnd w:id="78"/>
    <w:bookmarkStart w:id="80"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9">
        <w:r>
          <w:rPr>
            <w:rStyle w:val="Hyperlink"/>
          </w:rPr>
          <w:t xml:space="preserve">https://doi.org/10.1038/s41467-020-18321-y</w:t>
        </w:r>
      </w:hyperlink>
    </w:p>
    <w:bookmarkEnd w:id="80"/>
    <w:bookmarkStart w:id="82"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81">
        <w:r>
          <w:rPr>
            <w:rStyle w:val="Hyperlink"/>
          </w:rPr>
          <w:t xml:space="preserve">https://doi.org/10.1111/jfr3.70089</w:t>
        </w:r>
      </w:hyperlink>
    </w:p>
    <w:bookmarkEnd w:id="82"/>
    <w:bookmarkStart w:id="84"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3">
        <w:r>
          <w:rPr>
            <w:rStyle w:val="Hyperlink"/>
          </w:rPr>
          <w:t xml:space="preserve">https://doi.org/10.1111/ecog.02881</w:t>
        </w:r>
      </w:hyperlink>
    </w:p>
    <w:bookmarkEnd w:id="84"/>
    <w:bookmarkStart w:id="86"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5">
        <w:r>
          <w:rPr>
            <w:rStyle w:val="Hyperlink"/>
          </w:rPr>
          <w:t xml:space="preserve">https://doi.org/10.1016/j.heliyon.2023.e16459</w:t>
        </w:r>
      </w:hyperlink>
    </w:p>
    <w:bookmarkEnd w:id="86"/>
    <w:bookmarkStart w:id="88"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7">
        <w:r>
          <w:rPr>
            <w:rStyle w:val="Hyperlink"/>
          </w:rPr>
          <w:t xml:space="preserve">https://doi.org/10.1111/jfr3.12913</w:t>
        </w:r>
      </w:hyperlink>
    </w:p>
    <w:bookmarkEnd w:id="88"/>
    <w:bookmarkStart w:id="90"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9">
        <w:r>
          <w:rPr>
            <w:rStyle w:val="Hyperlink"/>
          </w:rPr>
          <w:t xml:space="preserve">https://doi.org/10.1111/jfr3.12770</w:t>
        </w:r>
      </w:hyperlink>
    </w:p>
    <w:bookmarkEnd w:id="90"/>
    <w:bookmarkStart w:id="92"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1">
        <w:r>
          <w:rPr>
            <w:rStyle w:val="Hyperlink"/>
          </w:rPr>
          <w:t xml:space="preserve">https://doi.org/10.1007/s00477-020-01862-5</w:t>
        </w:r>
      </w:hyperlink>
    </w:p>
    <w:bookmarkEnd w:id="92"/>
    <w:bookmarkStart w:id="94"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3">
        <w:r>
          <w:rPr>
            <w:rStyle w:val="Hyperlink"/>
          </w:rPr>
          <w:t xml:space="preserve">https://doi.org/10.1038/s41586-021-03695-w</w:t>
        </w:r>
      </w:hyperlink>
    </w:p>
    <w:bookmarkEnd w:id="94"/>
    <w:bookmarkStart w:id="9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5">
        <w:r>
          <w:rPr>
            <w:rStyle w:val="Hyperlink"/>
          </w:rPr>
          <w:t xml:space="preserve">https://doi.org/10.1080/01431161.2016.1192304</w:t>
        </w:r>
      </w:hyperlink>
    </w:p>
    <w:bookmarkEnd w:id="96"/>
    <w:bookmarkStart w:id="9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7">
        <w:r>
          <w:rPr>
            <w:rStyle w:val="Hyperlink"/>
          </w:rPr>
          <w:t xml:space="preserve">https://doi.org/10.3390/rs11131581</w:t>
        </w:r>
      </w:hyperlink>
    </w:p>
    <w:bookmarkEnd w:id="98"/>
    <w:bookmarkStart w:id="10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9">
        <w:r>
          <w:rPr>
            <w:rStyle w:val="Hyperlink"/>
          </w:rPr>
          <w:t xml:space="preserve">https://un-spider.org/advisory-support/recommended-practices/recommended-practice-google-earth-engine-flood-mapping</w:t>
        </w:r>
      </w:hyperlink>
      <w:r>
        <w:t xml:space="preserve">.</w:t>
      </w:r>
    </w:p>
    <w:bookmarkEnd w:id="100"/>
    <w:bookmarkStart w:id="10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1">
        <w:r>
          <w:rPr>
            <w:rStyle w:val="Hyperlink"/>
          </w:rPr>
          <w:t xml:space="preserve">https://doi.org/10.1016/j.ecolmodel.2021.109692</w:t>
        </w:r>
      </w:hyperlink>
    </w:p>
    <w:bookmarkEnd w:id="102"/>
    <w:bookmarkStart w:id="104"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03">
        <w:r>
          <w:rPr>
            <w:rStyle w:val="Hyperlink"/>
          </w:rPr>
          <w:t xml:space="preserve">https://doi.org/10.1111/jfr3.13047</w:t>
        </w:r>
      </w:hyperlink>
    </w:p>
    <w:bookmarkEnd w:id="104"/>
    <w:bookmarkStart w:id="106"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5">
        <w:r>
          <w:rPr>
            <w:rStyle w:val="Hyperlink"/>
          </w:rPr>
          <w:t xml:space="preserve">https://doi.org/10.3389/feart.2023.1132722</w:t>
        </w:r>
      </w:hyperlink>
    </w:p>
    <w:bookmarkEnd w:id="106"/>
    <w:bookmarkStart w:id="10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7">
        <w:r>
          <w:rPr>
            <w:rStyle w:val="Hyperlink"/>
          </w:rPr>
          <w:t xml:space="preserve">https://doi.org/10.1111/jfr3.70045</w:t>
        </w:r>
      </w:hyperlink>
    </w:p>
    <w:bookmarkEnd w:id="108"/>
    <w:bookmarkStart w:id="11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9">
        <w:r>
          <w:rPr>
            <w:rStyle w:val="Hyperlink"/>
          </w:rPr>
          <w:t xml:space="preserve">https://doi.org/10.1145/775047.775151</w:t>
        </w:r>
      </w:hyperlink>
    </w:p>
    <w:bookmarkEnd w:id="110"/>
    <w:bookmarkStart w:id="11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1">
        <w:r>
          <w:rPr>
            <w:rStyle w:val="Hyperlink"/>
          </w:rPr>
          <w:t xml:space="preserve">https://doi.org/10.1111/jfr3.12715</w:t>
        </w:r>
      </w:hyperlink>
    </w:p>
    <w:bookmarkEnd w:id="112"/>
    <w:bookmarkEnd w:id="113"/>
    <w:bookmarkEnd w:id="114"/>
    <w:bookmarkStart w:id="122" w:name="tables"/>
    <w:p>
      <w:pPr>
        <w:pStyle w:val="Heading1"/>
      </w:pPr>
      <w:r>
        <w:t xml:space="preserve">Tables</w:t>
      </w:r>
    </w:p>
    <w:bookmarkStart w:id="115"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5"/>
    <w:bookmarkStart w:id="116"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6"/>
    <w:bookmarkStart w:id="11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7"/>
    <w:bookmarkStart w:id="11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8"/>
    <w:bookmarkStart w:id="11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9"/>
    <w:bookmarkStart w:id="12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20"/>
    <w:bookmarkStart w:id="12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21"/>
    <w:bookmarkEnd w:id="122"/>
    <w:bookmarkStart w:id="12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2026-10-04T03:18:37Z</dcterms:created>
  <dcterms:modified xsi:type="dcterms:W3CDTF">2026-10-04T03:18:37Z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