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although in Sylhet the gap closed when the model learned the same target as the test. In Rangpur and Rajshahi the record’s lead survived every check the manuscript applies, including masks re-mapped from a single satellite and wider validation blocks.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 although that lead fell within noise with wider validation blocks, while the riverine result grew stronger.</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https://doi.org/10.5281/zenodo.23108572. A Supporting Information file gives the full pipeline settings and a sensitivity analysis of the risk weights.</w:t>
      </w:r>
    </w:p>
    <w:p>
      <w:pPr>
        <w:pStyle w:val="BodyText"/>
      </w:pPr>
      <w:r>
        <w:t xml:space="preserve">The main text runs to about 5,800 words, excluding references, figures and tables, with 7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2026-10-04T03:14:29Z</dcterms:created>
  <dcterms:modified xsi:type="dcterms:W3CDTF">2026-10-04T03:14:29Z</dcterms:modified>
</cp:coreProperties>
</file>

<file path=docProps/custom.xml><?xml version="1.0" encoding="utf-8"?>
<Properties xmlns="http://schemas.openxmlformats.org/officeDocument/2006/custom-properties" xmlns:vt="http://schemas.openxmlformats.org/officeDocument/2006/docPropsVTypes"/>
</file>