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close to chance,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https://doi.org/10.5281/zenodo.22978729. A Supporting Information file gives the full pipeline settings and a sensitivity analysis of the risk weights.</w:t>
      </w:r>
    </w:p>
    <w:p>
      <w:pPr>
        <w:pStyle w:val="BodyText"/>
      </w:pPr>
      <w:r>
        <w:t xml:space="preserve">The main text runs to about 4,700 words, excluding references, figures and tables, with 7 figures and 7 tables. The manuscript is original, has not been published, and is not under consideration elsewhere.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2026-09-29T15:45:14Z</dcterms:created>
  <dcterms:modified xsi:type="dcterms:W3CDTF">2026-09-29T15:45:14Z</dcterms:modified>
</cp:coreProperties>
</file>

<file path=docProps/custom.xml><?xml version="1.0" encoding="utf-8"?>
<Properties xmlns="http://schemas.openxmlformats.org/officeDocument/2006/custom-properties" xmlns:vt="http://schemas.openxmlformats.org/officeDocument/2006/docPropsVTypes"/>
</file>