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Training on radar-observed extents rather than terrain-threshold labels raised the AUC by 0.101, 0.087 and 0.08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82 % of cells, a figure dominated by dry ground. On flooded ground the agreement is only moderate, with a critical success index of 0.29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5.5,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and tested by a paired comparison across them, because one assignment gives a single number with no sense of its spread. A temporal test trains on the floods up to 2022 and scores against those of 2024 (Section 5.4).</w:t>
      </w:r>
    </w:p>
    <w:bookmarkEnd w:id="23"/>
    <w:bookmarkEnd w:id="24"/>
    <w:bookmarkStart w:id="31"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14.7 % of assets sit on flood-prone ground and the asset model reaches an AUC of 0.934. In Rangpur and Rajshahi only 6.7 % do, yet the model ranks well (AUC 0.884), with an average precision 7.032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 against 0.857 in Sylhet and 0.758 against 0.839 on the coast. The gaps of 0.101, 0.087 and 0.08 favour the observed labels on 20, 19 and 19 of the assignments (</w:t>
      </w:r>
      <m:oMath>
        <m:r>
          <m:t>p</m:t>
        </m:r>
        <m:r>
          <m:rPr>
            <m:sty m:val="p"/>
          </m:rPr>
          <m:t>&lt;</m:t>
        </m:r>
        <m:r>
          <m:t>0.001</m:t>
        </m:r>
      </m:oMath>
      <w:r>
        <w:t xml:space="preserve">,</w:t>
      </w:r>
      <w:r>
        <w:t xml:space="preserve"> </w:t>
      </w:r>
      <m:oMath>
        <m:r>
          <m:t>p</m:t>
        </m:r>
        <m:r>
          <m:rPr>
            <m:sty m:val="p"/>
          </m:rPr>
          <m:t>&lt;</m:t>
        </m:r>
        <m:r>
          <m:t>0.001</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across the grid both hazard surfaces are close to chance, the terrain surface at 0.542 and the Kriged one at 0.538. The same two surfaces reach 0.657 and 0.666 in Rangpur and Rajshahi and 0.822 and 0.544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in Rangpur and Rajshahi by leaving out 2024 (</w:t>
      </w:r>
      <m:oMath>
        <m:r>
          <m:t>p</m:t>
        </m:r>
        <m:r>
          <m:rPr>
            <m:sty m:val="p"/>
          </m:rPr>
          <m:t>=</m:t>
        </m:r>
        <m:r>
          <m:t>0.052</m:t>
        </m:r>
      </m:oMath>
      <w:r>
        <w:t xml:space="preserve">) and 0.053 and 0.028 elsewhere. In both riverine regions the record of earlier flooding ranks the 2024 flooding better, at 0.896 and 0.851, with the model ahead on only 2 and 4 of 20 assignments, whereas on the coast the model leads, at 0.807 against 0.668. Riverine flooding returns to much the same ground, and only 16.9 % and 22.3 % of the assets flooded in 2024 stood on ground no earlier event had reached, against 65.5 % on the coast, where each surge floods the stretch of coast where it lands.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&lt;</m:t>
        </m:r>
        <m:r>
          <m:t>0.001</m:t>
        </m:r>
      </m:oMath>
      <w:r>
        <w:t xml:space="preserve">) and 0.79 for the model without the feature. Its gain comes on the ground no earlier flood reached, 87.7 % of the test assets, where the record gives every asset a score of zero and the combined model still ranks the 2024 flooding at 0.729. In Sylhet the combination, at 0.849, improves on the model without the feature at 0.837 (</w:t>
      </w:r>
      <m:oMath>
        <m:r>
          <m:t>p</m:t>
        </m:r>
        <m:r>
          <m:rPr>
            <m:sty m:val="p"/>
          </m:rPr>
          <m:t>=</m:t>
        </m:r>
        <m:r>
          <m:t>0.015</m:t>
        </m:r>
      </m:oMath>
      <w:r>
        <w:t xml:space="preserve">) but not on the record alone at 0.851 (</w:t>
      </w:r>
      <m:oMath>
        <m:r>
          <m:t>p</m:t>
        </m:r>
        <m:r>
          <m:rPr>
            <m:sty m:val="p"/>
          </m:rPr>
          <m:t>=</m:t>
        </m:r>
        <m:r>
          <m:t>0.767</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0.315</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&lt;</m:t>
        </m:r>
        <m:r>
          <m:t>0.001</m:t>
        </m:r>
      </m:oMath>
      <w:r>
        <w:t xml:space="preserve">,</w:t>
      </w:r>
      <w:r>
        <w:t xml:space="preserve"> </w:t>
      </w:r>
      <m:oMath>
        <m:r>
          <m:t>p</m:t>
        </m:r>
        <m:r>
          <m:rPr>
            <m:sty m:val="p"/>
          </m:rPr>
          <m:t>=</m:t>
        </m:r>
        <m:r>
          <m:t>0.063</m:t>
        </m:r>
      </m:oMath>
      <w:r>
        <w:t xml:space="preserve"> </w:t>
      </w:r>
      <w:r>
        <w:t xml:space="preserve">and</w:t>
      </w:r>
      <w:r>
        <w:t xml:space="preserve"> </w:t>
      </w:r>
      <m:oMath>
        <m:r>
          <m:t>p</m:t>
        </m:r>
        <m:r>
          <m:rPr>
            <m:sty m:val="p"/>
          </m:rPr>
          <m:t>&lt;</m:t>
        </m:r>
        <m:r>
          <m:t>0.001</m:t>
        </m:r>
      </m:oMath>
      <w:r>
        <w:t xml:space="preserve">). The coastal gap of 0.071 stays close to its spatial 0.08,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enchmark"/>
    <w:p>
      <w:pPr>
        <w:pStyle w:val="Heading2"/>
      </w:pPr>
      <w:r>
        <w:rPr>
          <w:rStyle w:val="SectionNumber"/>
        </w:rPr>
        <w:t xml:space="preserve">5.5</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by 0.028 in AUC in Rangpur and Rajshahi (</w:t>
      </w:r>
      <m:oMath>
        <m:r>
          <m:t>p</m:t>
        </m:r>
        <m:r>
          <m:rPr>
            <m:sty m:val="p"/>
          </m:rPr>
          <m:t>&lt;</m:t>
        </m:r>
        <m:r>
          <m:t>0.001</m:t>
        </m:r>
      </m:oMath>
      <w:r>
        <w:t xml:space="preserve">, ahead on 2 of 20 assignments) and 0.022 on the coast (</w:t>
      </w:r>
      <m:oMath>
        <m:r>
          <m:t>p</m:t>
        </m:r>
        <m:r>
          <m:rPr>
            <m:sty m:val="p"/>
          </m:rPr>
          <m:t>=</m:t>
        </m:r>
        <m:r>
          <m:t>0.04</m:t>
        </m:r>
      </m:oMath>
      <w:r>
        <w:t xml:space="preserve">, ahead on 6), while in Sylhet its gap of 0.003 is within noise (</w:t>
      </w:r>
      <m:oMath>
        <m:r>
          <m:t>p</m:t>
        </m:r>
        <m:r>
          <m:rPr>
            <m:sty m:val="p"/>
          </m:rPr>
          <m:t>=</m:t>
        </m:r>
        <m:r>
          <m:t>0.674</m:t>
        </m:r>
      </m:oMath>
      <w:r>
        <w:t xml:space="preserve">, ahead on 7).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29"/>
    <w:bookmarkStart w:id="30"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 and 0.129 in AUC when shuffled, while TWI, HAND, slope and flow accumulation cost at most 0, 0.009 and 0.007. Shuffled together, since correlated features can stand in for one another, the five terrain features cost 0.08, 0.214 and 0.132, about as much as elevation alone. The five access distances together cost 0.11,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0"/>
    <w:bookmarkEnd w:id="31"/>
    <w:bookmarkStart w:id="37" w:name="sec:discussion"/>
    <w:p>
      <w:pPr>
        <w:pStyle w:val="Heading1"/>
      </w:pPr>
      <w:r>
        <w:rPr>
          <w:rStyle w:val="SectionNumber"/>
        </w:rPr>
        <w:t xml:space="preserve">6</w:t>
      </w:r>
      <w:r>
        <w:tab/>
      </w:r>
      <w:r>
        <w:t xml:space="preserve">Discussion</w:t>
      </w:r>
    </w:p>
    <w:bookmarkStart w:id="32"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On the coast, where most of the ground Cyclone Remal flooded had not flooded in the earlier cyclones, the model trained on those cyclones did best. A study that reports accuracy without the past-flooding reference cannot show that its model knows more than the flood record already does, and the two are simple to compare wherever Sentinel-1 has observed earlier floods.</w:t>
      </w:r>
    </w:p>
    <w:bookmarkEnd w:id="33"/>
    <w:bookmarkStart w:id="34"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in Rangpur and Rajshahi and on the coast, and matched it only within noise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4"/>
    <w:bookmarkStart w:id="35"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on a coast where each surge strikes new ground.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little more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5"/>
    <w:bookmarkStart w:id="36"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6"/>
    <w:bookmarkEnd w:id="37"/>
    <w:bookmarkStart w:id="38"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 in AUC on held-out ground and by 0.069, 0.024 and 0.071 against later floods, which bears on how any map trained and scored against terrain-derived labels should be read. In the riverine regions the record of earlier floods predicted the 2024 flooding better than the model,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across the grid at 0.657 and 0.822 in the riverine regions and close to chance on the coast. Every number in this paper is generated from the released pipeline outputs, so each can be checked and rebuilt.</w:t>
      </w:r>
    </w:p>
    <w:bookmarkEnd w:id="38"/>
    <w:bookmarkStart w:id="42"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9">
        <w:r>
          <w:rPr>
            <w:rStyle w:val="Hyperlink"/>
          </w:rPr>
          <w:t xml:space="preserve">https://doi.org/10.5281/zenodo.22978729</w:t>
        </w:r>
      </w:hyperlink>
      <w:r>
        <w:t xml:space="preserve">. The code that produced them is openly available at</w:t>
      </w:r>
      <w:r>
        <w:t xml:space="preserve"> </w:t>
      </w:r>
      <w:hyperlink r:id="rId40">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1">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2"/>
    <w:bookmarkStart w:id="43"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3"/>
    <w:bookmarkStart w:id="109" w:name="references"/>
    <w:p>
      <w:pPr>
        <w:pStyle w:val="Heading1"/>
      </w:pPr>
      <w:r>
        <w:t xml:space="preserve">References</w:t>
      </w:r>
    </w:p>
    <w:bookmarkStart w:id="108" w:name="refs"/>
    <w:bookmarkStart w:id="45"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4">
        <w:r>
          <w:rPr>
            <w:rStyle w:val="Hyperlink"/>
          </w:rPr>
          <w:t xml:space="preserve">https://doi.org/10.1016/j.jenvman.2022.116813</w:t>
        </w:r>
      </w:hyperlink>
    </w:p>
    <w:bookmarkEnd w:id="45"/>
    <w:bookmarkStart w:id="47"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6">
        <w:r>
          <w:rPr>
            <w:rStyle w:val="Hyperlink"/>
          </w:rPr>
          <w:t xml:space="preserve">https://doi.org/10.3390/rs16040656</w:t>
        </w:r>
      </w:hyperlink>
    </w:p>
    <w:bookmarkEnd w:id="47"/>
    <w:bookmarkStart w:id="49"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8">
        <w:r>
          <w:rPr>
            <w:rStyle w:val="Hyperlink"/>
          </w:rPr>
          <w:t xml:space="preserve">https://doi.org/10.5194/hess-26-4345-2022</w:t>
        </w:r>
      </w:hyperlink>
    </w:p>
    <w:bookmarkEnd w:id="49"/>
    <w:bookmarkStart w:id="51"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0">
        <w:r>
          <w:rPr>
            <w:rStyle w:val="Hyperlink"/>
          </w:rPr>
          <w:t xml:space="preserve">https://doi.org/10.1080/02626667909491834</w:t>
        </w:r>
      </w:hyperlink>
    </w:p>
    <w:bookmarkEnd w:id="51"/>
    <w:bookmarkStart w:id="53"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2">
        <w:r>
          <w:rPr>
            <w:rStyle w:val="Hyperlink"/>
          </w:rPr>
          <w:t xml:space="preserve">https://doi.org/10.1111/jfr3.70201</w:t>
        </w:r>
      </w:hyperlink>
    </w:p>
    <w:bookmarkEnd w:id="53"/>
    <w:bookmarkStart w:id="55"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4">
        <w:r>
          <w:rPr>
            <w:rStyle w:val="Hyperlink"/>
          </w:rPr>
          <w:t xml:space="preserve">https://doi.org/10.2760/094023</w:t>
        </w:r>
      </w:hyperlink>
    </w:p>
    <w:bookmarkEnd w:id="55"/>
    <w:bookmarkStart w:id="57"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6">
        <w:r>
          <w:rPr>
            <w:rStyle w:val="Hyperlink"/>
          </w:rPr>
          <w:t xml:space="preserve">https://arxiv.org/abs/1706.02216</w:t>
        </w:r>
      </w:hyperlink>
    </w:p>
    <w:bookmarkEnd w:id="57"/>
    <w:bookmarkStart w:id="59"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58">
        <w:r>
          <w:rPr>
            <w:rStyle w:val="Hyperlink"/>
          </w:rPr>
          <w:t xml:space="preserve">https://doi.org/10.1038/s41467-023-39698-6</w:t>
        </w:r>
      </w:hyperlink>
    </w:p>
    <w:bookmarkEnd w:id="59"/>
    <w:bookmarkStart w:id="6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0">
        <w:r>
          <w:rPr>
            <w:rStyle w:val="Hyperlink"/>
          </w:rPr>
          <w:t xml:space="preserve">https://doi.org/10.1016/j.gsf.2020.09.006</w:t>
        </w:r>
      </w:hyperlink>
    </w:p>
    <w:bookmarkEnd w:id="61"/>
    <w:bookmarkStart w:id="6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2">
        <w:r>
          <w:rPr>
            <w:rStyle w:val="Hyperlink"/>
          </w:rPr>
          <w:t xml:space="preserve">https://doi.org/10.1016/j.envc.2023.100833</w:t>
        </w:r>
      </w:hyperlink>
    </w:p>
    <w:bookmarkEnd w:id="63"/>
    <w:bookmarkStart w:id="65"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4">
        <w:r>
          <w:rPr>
            <w:rStyle w:val="Hyperlink"/>
          </w:rPr>
          <w:t xml:space="preserve">https://doi.org/10.1038/s41467-019-10442-3</w:t>
        </w:r>
      </w:hyperlink>
    </w:p>
    <w:bookmarkEnd w:id="65"/>
    <w:bookmarkStart w:id="67"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6">
        <w:r>
          <w:rPr>
            <w:rStyle w:val="Hyperlink"/>
          </w:rPr>
          <w:t xml:space="preserve">https://doi.org/10.1016/j.catena.2025.109029</w:t>
        </w:r>
      </w:hyperlink>
    </w:p>
    <w:bookmarkEnd w:id="67"/>
    <w:bookmarkStart w:id="69"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68">
        <w:r>
          <w:rPr>
            <w:rStyle w:val="Hyperlink"/>
          </w:rPr>
          <w:t xml:space="preserve">https://doi.org/10.1145/1102351.1102430</w:t>
        </w:r>
      </w:hyperlink>
    </w:p>
    <w:bookmarkEnd w:id="69"/>
    <w:bookmarkStart w:id="71"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0">
        <w:r>
          <w:rPr>
            <w:rStyle w:val="Hyperlink"/>
          </w:rPr>
          <w:t xml:space="preserve">https://doi.org/10.1016/j.jhydrol.2011.03.051</w:t>
        </w:r>
      </w:hyperlink>
    </w:p>
    <w:bookmarkEnd w:id="71"/>
    <w:bookmarkStart w:id="73"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2">
        <w:r>
          <w:rPr>
            <w:rStyle w:val="Hyperlink"/>
          </w:rPr>
          <w:t xml:space="preserve">https://doi.org/10.1038/nature20584</w:t>
        </w:r>
      </w:hyperlink>
    </w:p>
    <w:bookmarkEnd w:id="73"/>
    <w:bookmarkStart w:id="75"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4">
        <w:r>
          <w:rPr>
            <w:rStyle w:val="Hyperlink"/>
          </w:rPr>
          <w:t xml:space="preserve">https://doi.org/10.1038/s41467-020-18321-y</w:t>
        </w:r>
      </w:hyperlink>
    </w:p>
    <w:bookmarkEnd w:id="75"/>
    <w:bookmarkStart w:id="77"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76">
        <w:r>
          <w:rPr>
            <w:rStyle w:val="Hyperlink"/>
          </w:rPr>
          <w:t xml:space="preserve">https://doi.org/10.1111/jfr3.70089</w:t>
        </w:r>
      </w:hyperlink>
    </w:p>
    <w:bookmarkEnd w:id="77"/>
    <w:bookmarkStart w:id="79"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78">
        <w:r>
          <w:rPr>
            <w:rStyle w:val="Hyperlink"/>
          </w:rPr>
          <w:t xml:space="preserve">https://doi.org/10.1111/ecog.02881</w:t>
        </w:r>
      </w:hyperlink>
    </w:p>
    <w:bookmarkEnd w:id="79"/>
    <w:bookmarkStart w:id="81"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0">
        <w:r>
          <w:rPr>
            <w:rStyle w:val="Hyperlink"/>
          </w:rPr>
          <w:t xml:space="preserve">https://doi.org/10.1016/j.heliyon.2023.e16459</w:t>
        </w:r>
      </w:hyperlink>
    </w:p>
    <w:bookmarkEnd w:id="81"/>
    <w:bookmarkStart w:id="83"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2">
        <w:r>
          <w:rPr>
            <w:rStyle w:val="Hyperlink"/>
          </w:rPr>
          <w:t xml:space="preserve">https://doi.org/10.1111/jfr3.12913</w:t>
        </w:r>
      </w:hyperlink>
    </w:p>
    <w:bookmarkEnd w:id="83"/>
    <w:bookmarkStart w:id="8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4">
        <w:r>
          <w:rPr>
            <w:rStyle w:val="Hyperlink"/>
          </w:rPr>
          <w:t xml:space="preserve">https://doi.org/10.1111/jfr3.12770</w:t>
        </w:r>
      </w:hyperlink>
    </w:p>
    <w:bookmarkEnd w:id="85"/>
    <w:bookmarkStart w:id="87"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86">
        <w:r>
          <w:rPr>
            <w:rStyle w:val="Hyperlink"/>
          </w:rPr>
          <w:t xml:space="preserve">https://doi.org/10.1007/s00477-020-01862-5</w:t>
        </w:r>
      </w:hyperlink>
    </w:p>
    <w:bookmarkEnd w:id="87"/>
    <w:bookmarkStart w:id="89"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88">
        <w:r>
          <w:rPr>
            <w:rStyle w:val="Hyperlink"/>
          </w:rPr>
          <w:t xml:space="preserve">https://doi.org/10.1038/s41586-021-03695-w</w:t>
        </w:r>
      </w:hyperlink>
    </w:p>
    <w:bookmarkEnd w:id="89"/>
    <w:bookmarkStart w:id="91"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0">
        <w:r>
          <w:rPr>
            <w:rStyle w:val="Hyperlink"/>
          </w:rPr>
          <w:t xml:space="preserve">https://doi.org/10.1080/01431161.2016.1192304</w:t>
        </w:r>
      </w:hyperlink>
    </w:p>
    <w:bookmarkEnd w:id="91"/>
    <w:bookmarkStart w:id="93"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2">
        <w:r>
          <w:rPr>
            <w:rStyle w:val="Hyperlink"/>
          </w:rPr>
          <w:t xml:space="preserve">https://doi.org/10.3390/rs11131581</w:t>
        </w:r>
      </w:hyperlink>
    </w:p>
    <w:bookmarkEnd w:id="93"/>
    <w:bookmarkStart w:id="95"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4">
        <w:r>
          <w:rPr>
            <w:rStyle w:val="Hyperlink"/>
          </w:rPr>
          <w:t xml:space="preserve">https://un-spider.org/advisory-support/recommended-practices/recommended-practice-google-earth-engine-flood-mapping</w:t>
        </w:r>
      </w:hyperlink>
      <w:r>
        <w:t xml:space="preserve">.</w:t>
      </w:r>
    </w:p>
    <w:bookmarkEnd w:id="95"/>
    <w:bookmarkStart w:id="97"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96">
        <w:r>
          <w:rPr>
            <w:rStyle w:val="Hyperlink"/>
          </w:rPr>
          <w:t xml:space="preserve">https://doi.org/10.1016/j.ecolmodel.2021.109692</w:t>
        </w:r>
      </w:hyperlink>
    </w:p>
    <w:bookmarkEnd w:id="97"/>
    <w:bookmarkStart w:id="99"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98">
        <w:r>
          <w:rPr>
            <w:rStyle w:val="Hyperlink"/>
          </w:rPr>
          <w:t xml:space="preserve">https://doi.org/10.1111/jfr3.13047</w:t>
        </w:r>
      </w:hyperlink>
    </w:p>
    <w:bookmarkEnd w:id="99"/>
    <w:bookmarkStart w:id="101"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0">
        <w:r>
          <w:rPr>
            <w:rStyle w:val="Hyperlink"/>
          </w:rPr>
          <w:t xml:space="preserve">https://doi.org/10.3389/feart.2023.1132722</w:t>
        </w:r>
      </w:hyperlink>
    </w:p>
    <w:bookmarkEnd w:id="101"/>
    <w:bookmarkStart w:id="103"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2">
        <w:r>
          <w:rPr>
            <w:rStyle w:val="Hyperlink"/>
          </w:rPr>
          <w:t xml:space="preserve">https://doi.org/10.1111/jfr3.70045</w:t>
        </w:r>
      </w:hyperlink>
    </w:p>
    <w:bookmarkEnd w:id="103"/>
    <w:bookmarkStart w:id="105"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4">
        <w:r>
          <w:rPr>
            <w:rStyle w:val="Hyperlink"/>
          </w:rPr>
          <w:t xml:space="preserve">https://doi.org/10.1145/775047.775151</w:t>
        </w:r>
      </w:hyperlink>
    </w:p>
    <w:bookmarkEnd w:id="105"/>
    <w:bookmarkStart w:id="10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06">
        <w:r>
          <w:rPr>
            <w:rStyle w:val="Hyperlink"/>
          </w:rPr>
          <w:t xml:space="preserve">https://doi.org/10.1111/jfr3.12715</w:t>
        </w:r>
      </w:hyperlink>
    </w:p>
    <w:bookmarkEnd w:id="107"/>
    <w:bookmarkEnd w:id="108"/>
    <w:bookmarkEnd w:id="109"/>
    <w:bookmarkStart w:id="117" w:name="tables"/>
    <w:p>
      <w:pPr>
        <w:pStyle w:val="Heading1"/>
      </w:pPr>
      <w:r>
        <w:t xml:space="preserve">Tables</w:t>
      </w:r>
    </w:p>
    <w:bookmarkStart w:id="11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0"/>
    <w:bookmarkStart w:id="111"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1"/>
    <w:bookmarkStart w:id="11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2"/>
    <w:bookmarkStart w:id="11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3"/>
    <w:bookmarkStart w:id="114"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4"/>
    <w:bookmarkStart w:id="11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15"/>
    <w:bookmarkStart w:id="116"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16"/>
    <w:bookmarkEnd w:id="117"/>
    <w:bookmarkStart w:id="11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2978729"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2978729"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2026-09-29T15:45:14Z</dcterms:created>
  <dcterms:modified xsi:type="dcterms:W3CDTF">2026-09-29T15:45:14Z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