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9a5aadbc16cfb061abfd15f8131c4ec0f42f7f"/>
    <w:p>
      <w:pPr>
        <w:pStyle w:val="Heading1"/>
      </w:pPr>
      <w:r>
        <w:t xml:space="preserve">When do flood susceptibility models beat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a third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3" w:name="sec:chain"/>
    <w:p>
      <w:pPr>
        <w:pStyle w:val="Heading1"/>
      </w:pPr>
      <w:r>
        <w:rPr>
          <w:rStyle w:val="SectionNumber"/>
        </w:rPr>
        <w:t xml:space="preserve">4</w:t>
      </w:r>
      <w:r>
        <w:tab/>
      </w:r>
      <w:r>
        <w:t xml:space="preserve">Methods</w:t>
      </w:r>
    </w:p>
    <w:p>
      <w:pPr>
        <w:pStyle w:val="FirstParagraph"/>
      </w:pPr>
      <w:r>
        <w:t xml:space="preserve">The pipeline runs as a chain of steps, drawn in the Supporting Information (Fig. S1, Section S1) with the settings not given here, and this section follows it in order.</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20"/>
    <w:bookmarkStart w:id="21"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1"/>
    <w:bookmarkStart w:id="22"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2"/>
    <w:bookmarkEnd w:id="23"/>
    <w:bookmarkStart w:id="30" w:name="sec:validation"/>
    <w:p>
      <w:pPr>
        <w:pStyle w:val="Heading1"/>
      </w:pPr>
      <w:r>
        <w:rPr>
          <w:rStyle w:val="SectionNumber"/>
        </w:rPr>
        <w:t xml:space="preserve">5</w:t>
      </w:r>
      <w:r>
        <w:tab/>
      </w:r>
      <w:r>
        <w:t xml:space="preserve">Results</w:t>
      </w:r>
    </w:p>
    <w:bookmarkStart w:id="24"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3). It carries less well to the coast, where the calibration blocks hold 5.5 % flood-prone assets against 1.7 % in the test blocks and the calibrated Brier score of 0.039 is worse than the base rate at 0.017.</w:t>
      </w:r>
    </w:p>
    <w:bookmarkEnd w:id="24"/>
    <w:bookmarkStart w:id="25"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2). This test favours the observed labels, since that model is scored against the definition it learned, so Section 5.3 repeats it against later floods that neither label source was trained on.</w:t>
      </w:r>
    </w:p>
    <w:bookmarkEnd w:id="25"/>
    <w:bookmarkStart w:id="26"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6.8 % and 22.1 % of the assets flooded in 2024 stood on ground no earlier event had reached, against 62.9 %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6"/>
    <w:bookmarkStart w:id="27"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4a).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and the relation was unchanged with the size of each flood held fixed (</w:t>
      </w:r>
      <m:oMath>
        <m:r>
          <m:t>ρ</m:t>
        </m:r>
        <m:r>
          <m:rPr>
            <m:sty m:val="p"/>
          </m:rPr>
          <m:t>=</m:t>
        </m:r>
        <m:r>
          <m:rPr>
            <m:sty m:val="p"/>
          </m:rPr>
          <m:t>−</m:t>
        </m:r>
        <m:r>
          <m:t>0.785</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4b,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7"/>
    <w:bookmarkStart w:id="28"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8"/>
    <w:bookmarkStart w:id="29"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5).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9"/>
    <w:bookmarkEnd w:id="30"/>
    <w:bookmarkStart w:id="35" w:name="sec:discussion"/>
    <w:p>
      <w:pPr>
        <w:pStyle w:val="Heading1"/>
      </w:pPr>
      <w:r>
        <w:rPr>
          <w:rStyle w:val="SectionNumber"/>
        </w:rPr>
        <w:t xml:space="preserve">6</w:t>
      </w:r>
      <w:r>
        <w:tab/>
      </w:r>
      <w:r>
        <w:t xml:space="preserve">Discussion</w:t>
      </w:r>
    </w:p>
    <w:bookmarkStart w:id="31"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1"/>
    <w:bookmarkStart w:id="32"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3"/>
    <w:bookmarkStart w:id="34"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4"/>
    <w:bookmarkEnd w:id="35"/>
    <w:bookmarkStart w:id="36"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a third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Every number in this paper is generated from the released pipeline outputs, so each can be checked and rebuilt.</w:t>
      </w:r>
    </w:p>
    <w:bookmarkEnd w:id="36"/>
    <w:bookmarkStart w:id="40"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7">
        <w:r>
          <w:rPr>
            <w:rStyle w:val="Hyperlink"/>
          </w:rPr>
          <w:t xml:space="preserve">https://doi.org/10.5281/zenodo.23573843</w:t>
        </w:r>
      </w:hyperlink>
      <w:r>
        <w:t xml:space="preserve">. The code that produced them is openly available at</w:t>
      </w:r>
      <w:r>
        <w:t xml:space="preserve"> </w:t>
      </w:r>
      <w:hyperlink r:id="rId38">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9">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0"/>
    <w:bookmarkStart w:id="41"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1"/>
    <w:bookmarkStart w:id="119" w:name="references"/>
    <w:p>
      <w:pPr>
        <w:pStyle w:val="Heading1"/>
      </w:pPr>
      <w:r>
        <w:t xml:space="preserve">References</w:t>
      </w:r>
    </w:p>
    <w:bookmarkStart w:id="118" w:name="refs"/>
    <w:bookmarkStart w:id="43"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2">
        <w:r>
          <w:rPr>
            <w:rStyle w:val="Hyperlink"/>
          </w:rPr>
          <w:t xml:space="preserve">https://doi.org/10.1016/j.jenvman.2022.116813</w:t>
        </w:r>
      </w:hyperlink>
    </w:p>
    <w:bookmarkEnd w:id="43"/>
    <w:bookmarkStart w:id="45"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4">
        <w:r>
          <w:rPr>
            <w:rStyle w:val="Hyperlink"/>
          </w:rPr>
          <w:t xml:space="preserve">https://doi.org/10.3390/rs16040656</w:t>
        </w:r>
      </w:hyperlink>
    </w:p>
    <w:bookmarkEnd w:id="45"/>
    <w:bookmarkStart w:id="47"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6">
        <w:r>
          <w:rPr>
            <w:rStyle w:val="Hyperlink"/>
          </w:rPr>
          <w:t xml:space="preserve">https://jeodpp.jrc.ec.europa.eu/ftp/jrc-opendata/CEMS-GLOFAS/flood_hazard/</w:t>
        </w:r>
      </w:hyperlink>
    </w:p>
    <w:bookmarkEnd w:id="47"/>
    <w:bookmarkStart w:id="49"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8">
        <w:r>
          <w:rPr>
            <w:rStyle w:val="Hyperlink"/>
          </w:rPr>
          <w:t xml:space="preserve">https://doi.org/10.1080/02626667909491834</w:t>
        </w:r>
      </w:hyperlink>
    </w:p>
    <w:bookmarkEnd w:id="49"/>
    <w:bookmarkStart w:id="51"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50">
        <w:r>
          <w:rPr>
            <w:rStyle w:val="Hyperlink"/>
          </w:rPr>
          <w:t xml:space="preserve">https://doi.org/10.1057/palgrave.sj.8350066</w:t>
        </w:r>
      </w:hyperlink>
    </w:p>
    <w:bookmarkEnd w:id="51"/>
    <w:bookmarkStart w:id="53"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2">
        <w:r>
          <w:rPr>
            <w:rStyle w:val="Hyperlink"/>
          </w:rPr>
          <w:t xml:space="preserve">https://doi.org/10.1023/B:NHAZ.0000007172.62651.2b</w:t>
        </w:r>
      </w:hyperlink>
    </w:p>
    <w:bookmarkEnd w:id="53"/>
    <w:bookmarkStart w:id="55"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4">
        <w:r>
          <w:rPr>
            <w:rStyle w:val="Hyperlink"/>
          </w:rPr>
          <w:t xml:space="preserve">https://doi.org/10.1111/jfr3.70201</w:t>
        </w:r>
      </w:hyperlink>
    </w:p>
    <w:bookmarkEnd w:id="55"/>
    <w:bookmarkStart w:id="57"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6">
        <w:r>
          <w:rPr>
            <w:rStyle w:val="Hyperlink"/>
          </w:rPr>
          <w:t xml:space="preserve">https://doi.org/10.1007/s44288-026-00759-0</w:t>
        </w:r>
      </w:hyperlink>
    </w:p>
    <w:bookmarkEnd w:id="57"/>
    <w:bookmarkStart w:id="59"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8">
        <w:r>
          <w:rPr>
            <w:rStyle w:val="Hyperlink"/>
          </w:rPr>
          <w:t xml:space="preserve">https://doi.org/10.1109/CVPRW59228.2023.00209</w:t>
        </w:r>
      </w:hyperlink>
    </w:p>
    <w:bookmarkEnd w:id="59"/>
    <w:bookmarkStart w:id="61"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0">
        <w:r>
          <w:rPr>
            <w:rStyle w:val="Hyperlink"/>
          </w:rPr>
          <w:t xml:space="preserve">https://doi.org/10.1016/j.geomorph.2006.04.007</w:t>
        </w:r>
      </w:hyperlink>
    </w:p>
    <w:bookmarkEnd w:id="61"/>
    <w:bookmarkStart w:id="63"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2">
        <w:r>
          <w:rPr>
            <w:rStyle w:val="Hyperlink"/>
          </w:rPr>
          <w:t xml:space="preserve">https://doi.org/10.5194/isprs-archives-XLIII-B3-2022-1097-2022</w:t>
        </w:r>
      </w:hyperlink>
    </w:p>
    <w:bookmarkEnd w:id="63"/>
    <w:bookmarkStart w:id="65"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4">
        <w:r>
          <w:rPr>
            <w:rStyle w:val="Hyperlink"/>
          </w:rPr>
          <w:t xml:space="preserve">https://arxiv.org/abs/1706.02216</w:t>
        </w:r>
      </w:hyperlink>
    </w:p>
    <w:bookmarkEnd w:id="65"/>
    <w:bookmarkStart w:id="67"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6">
        <w:r>
          <w:rPr>
            <w:rStyle w:val="Hyperlink"/>
          </w:rPr>
          <w:t xml:space="preserve">https://doi.org/10.1088/1748-9326/abc216</w:t>
        </w:r>
      </w:hyperlink>
    </w:p>
    <w:bookmarkEnd w:id="67"/>
    <w:bookmarkStart w:id="69"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8">
        <w:r>
          <w:rPr>
            <w:rStyle w:val="Hyperlink"/>
          </w:rPr>
          <w:t xml:space="preserve">https://doi.org/10.1088/1748-9326/ac4d4f</w:t>
        </w:r>
      </w:hyperlink>
    </w:p>
    <w:bookmarkEnd w:id="69"/>
    <w:bookmarkStart w:id="7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0">
        <w:r>
          <w:rPr>
            <w:rStyle w:val="Hyperlink"/>
          </w:rPr>
          <w:t xml:space="preserve">https://doi.org/10.1016/j.gsf.2020.09.006</w:t>
        </w:r>
      </w:hyperlink>
    </w:p>
    <w:bookmarkEnd w:id="71"/>
    <w:bookmarkStart w:id="7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2">
        <w:r>
          <w:rPr>
            <w:rStyle w:val="Hyperlink"/>
          </w:rPr>
          <w:t xml:space="preserve">https://doi.org/10.1016/j.envc.2023.100833</w:t>
        </w:r>
      </w:hyperlink>
    </w:p>
    <w:bookmarkEnd w:id="73"/>
    <w:bookmarkStart w:id="75"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4">
        <w:r>
          <w:rPr>
            <w:rStyle w:val="Hyperlink"/>
          </w:rPr>
          <w:t xml:space="preserve">https://doi.org/10.1029/2021JF006067</w:t>
        </w:r>
      </w:hyperlink>
    </w:p>
    <w:bookmarkEnd w:id="75"/>
    <w:bookmarkStart w:id="77"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6">
        <w:r>
          <w:rPr>
            <w:rStyle w:val="Hyperlink"/>
          </w:rPr>
          <w:t xml:space="preserve">https://doi.org/10.1175/1520-0493(1988)116&lt;2417:SSBOTM&gt;2.0.CO;2</w:t>
        </w:r>
      </w:hyperlink>
    </w:p>
    <w:bookmarkEnd w:id="77"/>
    <w:bookmarkStart w:id="79"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8">
        <w:r>
          <w:rPr>
            <w:rStyle w:val="Hyperlink"/>
          </w:rPr>
          <w:t xml:space="preserve">https://doi.org/10.1023/A:1024068626366</w:t>
        </w:r>
      </w:hyperlink>
    </w:p>
    <w:bookmarkEnd w:id="79"/>
    <w:bookmarkStart w:id="81"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0">
        <w:r>
          <w:rPr>
            <w:rStyle w:val="Hyperlink"/>
          </w:rPr>
          <w:t xml:space="preserve">https://doi.org/10.1145/1102351.1102430</w:t>
        </w:r>
      </w:hyperlink>
    </w:p>
    <w:bookmarkEnd w:id="81"/>
    <w:bookmarkStart w:id="83"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2">
        <w:r>
          <w:rPr>
            <w:rStyle w:val="Hyperlink"/>
          </w:rPr>
          <w:t xml:space="preserve">https://doi.org/10.1016/j.jhydrol.2011.03.051</w:t>
        </w:r>
      </w:hyperlink>
    </w:p>
    <w:bookmarkEnd w:id="83"/>
    <w:bookmarkStart w:id="85"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4">
        <w:r>
          <w:rPr>
            <w:rStyle w:val="Hyperlink"/>
          </w:rPr>
          <w:t xml:space="preserve">https://doi.org/10.1016/j.jhydrol.2015.01.024</w:t>
        </w:r>
      </w:hyperlink>
    </w:p>
    <w:bookmarkEnd w:id="85"/>
    <w:bookmarkStart w:id="87"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6">
        <w:r>
          <w:rPr>
            <w:rStyle w:val="Hyperlink"/>
          </w:rPr>
          <w:t xml:space="preserve">https://doi.org/10.1038/nature20584</w:t>
        </w:r>
      </w:hyperlink>
    </w:p>
    <w:bookmarkEnd w:id="87"/>
    <w:bookmarkStart w:id="89"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8">
        <w:r>
          <w:rPr>
            <w:rStyle w:val="Hyperlink"/>
          </w:rPr>
          <w:t xml:space="preserve">https://doi.org/10.1038/s41467-020-18321-y</w:t>
        </w:r>
      </w:hyperlink>
    </w:p>
    <w:bookmarkEnd w:id="89"/>
    <w:bookmarkStart w:id="91"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0">
        <w:r>
          <w:rPr>
            <w:rStyle w:val="Hyperlink"/>
          </w:rPr>
          <w:t xml:space="preserve">https://doi.org/10.1111/ecog.02881</w:t>
        </w:r>
      </w:hyperlink>
    </w:p>
    <w:bookmarkEnd w:id="91"/>
    <w:bookmarkStart w:id="93"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2">
        <w:r>
          <w:rPr>
            <w:rStyle w:val="Hyperlink"/>
          </w:rPr>
          <w:t xml:space="preserve">https://doi.org/10.1016/j.heliyon.2023.e16459</w:t>
        </w:r>
      </w:hyperlink>
    </w:p>
    <w:bookmarkEnd w:id="93"/>
    <w:bookmarkStart w:id="9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4">
        <w:r>
          <w:rPr>
            <w:rStyle w:val="Hyperlink"/>
          </w:rPr>
          <w:t xml:space="preserve">https://doi.org/10.1111/jfr3.12770</w:t>
        </w:r>
      </w:hyperlink>
    </w:p>
    <w:bookmarkEnd w:id="95"/>
    <w:bookmarkStart w:id="97"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6">
        <w:r>
          <w:rPr>
            <w:rStyle w:val="Hyperlink"/>
          </w:rPr>
          <w:t xml:space="preserve">https://doi.org/10.2166/wcc.2026.264</w:t>
        </w:r>
      </w:hyperlink>
    </w:p>
    <w:bookmarkEnd w:id="97"/>
    <w:bookmarkStart w:id="99"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8">
        <w:r>
          <w:rPr>
            <w:rStyle w:val="Hyperlink"/>
          </w:rPr>
          <w:t xml:space="preserve">https://doi.org/10.1007/s00477-020-01862-5</w:t>
        </w:r>
      </w:hyperlink>
    </w:p>
    <w:bookmarkEnd w:id="99"/>
    <w:bookmarkStart w:id="101"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0">
        <w:r>
          <w:rPr>
            <w:rStyle w:val="Hyperlink"/>
          </w:rPr>
          <w:t xml:space="preserve">https://doi.org/10.1038/s41586-021-03695-w</w:t>
        </w:r>
      </w:hyperlink>
    </w:p>
    <w:bookmarkEnd w:id="101"/>
    <w:bookmarkStart w:id="103"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2">
        <w:r>
          <w:rPr>
            <w:rStyle w:val="Hyperlink"/>
          </w:rPr>
          <w:t xml:space="preserve">https://doi.org/10.1109/JSTARS.2023.3244098</w:t>
        </w:r>
      </w:hyperlink>
    </w:p>
    <w:bookmarkEnd w:id="103"/>
    <w:bookmarkStart w:id="105"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4">
        <w:r>
          <w:rPr>
            <w:rStyle w:val="Hyperlink"/>
          </w:rPr>
          <w:t xml:space="preserve">https://doi.org/10.1080/01431161.2016.1192304</w:t>
        </w:r>
      </w:hyperlink>
    </w:p>
    <w:bookmarkEnd w:id="105"/>
    <w:bookmarkStart w:id="107"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6">
        <w:r>
          <w:rPr>
            <w:rStyle w:val="Hyperlink"/>
          </w:rPr>
          <w:t xml:space="preserve">https://doi.org/10.3390/rs11131581</w:t>
        </w:r>
      </w:hyperlink>
    </w:p>
    <w:bookmarkEnd w:id="107"/>
    <w:bookmarkStart w:id="109"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8">
        <w:r>
          <w:rPr>
            <w:rStyle w:val="Hyperlink"/>
          </w:rPr>
          <w:t xml:space="preserve">https://un-spider.org/advisory-support/recommended-practices/recommended-practice-google-earth-engine-flood-mapping</w:t>
        </w:r>
      </w:hyperlink>
      <w:r>
        <w:t xml:space="preserve">.</w:t>
      </w:r>
    </w:p>
    <w:bookmarkEnd w:id="109"/>
    <w:bookmarkStart w:id="111"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0">
        <w:r>
          <w:rPr>
            <w:rStyle w:val="Hyperlink"/>
          </w:rPr>
          <w:t xml:space="preserve">https://doi.org/10.1016/j.ecolmodel.2021.109692</w:t>
        </w:r>
      </w:hyperlink>
    </w:p>
    <w:bookmarkEnd w:id="111"/>
    <w:bookmarkStart w:id="113"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2">
        <w:r>
          <w:rPr>
            <w:rStyle w:val="Hyperlink"/>
          </w:rPr>
          <w:t xml:space="preserve">https://doi.org/10.1145/775047.775151</w:t>
        </w:r>
      </w:hyperlink>
    </w:p>
    <w:bookmarkEnd w:id="113"/>
    <w:bookmarkStart w:id="115"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4">
        <w:r>
          <w:rPr>
            <w:rStyle w:val="Hyperlink"/>
          </w:rPr>
          <w:t xml:space="preserve">https://doi.org/10.1111/j.1365-246X.2007.03676.x</w:t>
        </w:r>
      </w:hyperlink>
    </w:p>
    <w:bookmarkEnd w:id="115"/>
    <w:bookmarkStart w:id="11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6">
        <w:r>
          <w:rPr>
            <w:rStyle w:val="Hyperlink"/>
          </w:rPr>
          <w:t xml:space="preserve">https://doi.org/10.1111/jfr3.12715</w:t>
        </w:r>
      </w:hyperlink>
    </w:p>
    <w:bookmarkEnd w:id="117"/>
    <w:bookmarkEnd w:id="118"/>
    <w:bookmarkEnd w:id="119"/>
    <w:bookmarkStart w:id="127" w:name="tables"/>
    <w:p>
      <w:pPr>
        <w:pStyle w:val="Heading1"/>
      </w:pPr>
      <w:r>
        <w:t xml:space="preserve">Tables</w:t>
      </w:r>
    </w:p>
    <w:bookmarkStart w:id="120" w:name="tab:litflood"/>
    <w:p>
      <w:pPr>
        <w:pStyle w:val="TableCaption"/>
      </w:pPr>
      <w:r>
        <w:t xml:space="preserve">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study</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study</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study</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20"/>
    <w:bookmarkStart w:id="121"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1"/>
    <w:bookmarkStart w:id="122"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2"/>
    <w:bookmarkStart w:id="12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3"/>
    <w:bookmarkStart w:id="124"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4"/>
    <w:bookmarkStart w:id="12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5"/>
    <w:bookmarkStart w:id="126"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6"/>
    <w:bookmarkEnd w:id="127"/>
    <w:bookmarkStart w:id="12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four validation regions, outlined by their districts (e Jamuna east, f central, g Chattogram coast, h west-central;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3.</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4.</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5.</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8"/>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2026-10-22T21:53:05Z</dcterms:created>
  <dcterms:modified xsi:type="dcterms:W3CDTF">2026-10-22T21:53:05Z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