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d9a5aadbc16cfb061abfd15f8131c4ec0f42f7f"/>
    <w:p>
      <w:pPr>
        <w:pStyle w:val="Heading1"/>
      </w:pPr>
      <w:r>
        <w:t xml:space="preserve">When do flood susceptibility models beat the flood record? Evidence from radar-observed floods in Bangladesh</w:t>
      </w:r>
    </w:p>
    <w:p>
      <w:pPr>
        <w:pStyle w:val="FirstParagraph"/>
      </w:pPr>
      <w:r>
        <w:rPr>
          <w:b/>
          <w:bCs/>
        </w:rPr>
        <w:t xml:space="preserve">Running title:</w:t>
      </w:r>
      <w:r>
        <w:t xml:space="preserve"> </w:t>
      </w:r>
      <w:r>
        <w:t xml:space="preserve">Flood records and susceptibility models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Md Rakib Hasan</w:t>
      </w:r>
      <w:r>
        <w:rPr>
          <w:vertAlign w:val="superscript"/>
        </w:rPr>
        <w:t xml:space="preserve">1,2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</w:t>
      </w:r>
      <w:r>
        <w:t xml:space="preserve">Department of Soil, Water and Environment, University of Dhaka, Dhaka-1000, Bangladesh</w:t>
      </w:r>
    </w:p>
    <w:p>
      <w:pPr>
        <w:pStyle w:val="BodyText"/>
      </w:pPr>
      <w:r>
        <w:rPr>
          <w:vertAlign w:val="superscript"/>
        </w:rPr>
        <w:t xml:space="preserve">2</w:t>
      </w:r>
      <w:r>
        <w:t xml:space="preserve"> </w:t>
      </w:r>
      <w:r>
        <w:t xml:space="preserve">Fermium Systems, Dhaka-1207, Bangladesh</w:t>
      </w:r>
    </w:p>
    <w:p>
      <w:pPr>
        <w:pStyle w:val="BodyText"/>
      </w:pPr>
      <w:r>
        <w:rPr>
          <w:b/>
          <w:bCs/>
        </w:rPr>
        <w:t xml:space="preserve">ORCID:</w:t>
      </w:r>
      <w:r>
        <w:t xml:space="preserve"> </w:t>
      </w:r>
      <w:r>
        <w:t xml:space="preserve">0009-0002-4007-7590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Md Rakib Hasan, rakibhhridoy@fermium.systems</w:t>
      </w:r>
    </w:p>
    <w:bookmarkStart w:id="9" w:name="acknowledgments"/>
    <w:p>
      <w:pPr>
        <w:pStyle w:val="Heading2"/>
      </w:pPr>
      <w:r>
        <w:t xml:space="preserve">Acknowledgments</w:t>
      </w:r>
    </w:p>
    <w:p>
      <w:pPr>
        <w:pStyle w:val="FirstParagraph"/>
      </w:pPr>
      <w:r>
        <w:t xml:space="preserve">The author received no specific funding for this work. Infrastructure data are © OpenStreetMap contributors, under the Open Database Licence. Population data are from WorldPop, University of Southampton, CC BY 4.0. Administrative boundaries are from geoBoundaries, William &amp; Mary geoLab, CC BY 4.0. Neighbouring country outlines in Figure 1 are from Natural Earth, in the public domain. Surface-water occurrence is from the Joint Research Centre of the European Commission</w:t>
      </w:r>
      <w:r>
        <w:t xml:space="preserve"> </w:t>
      </w:r>
      <w:r>
        <w:t xml:space="preserve">(Pekel et al., 2016)</w:t>
      </w:r>
      <w:r>
        <w:t xml:space="preserve">. Elevation is from the NASA Shuttle Radar Topography Mission. Sentinel-1 data are from the Copernicus programme of the European Union. The system was first developed for the RIMES Mapathon, ResilienceAI track.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2026-10-22T21:53:05Z</dcterms:created>
  <dcterms:modified xsi:type="dcterms:W3CDTF">2026-10-22T21:53:05Z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/Volumes/SSD Rx/Research/mapathon/docs/paper/references.bib</vt:lpwstr>
  </property>
  <property fmtid="{D5CDD505-2E9C-101B-9397-08002B2CF9AE}" pid="3" name="csl">
    <vt:lpwstr>/Volumes/SSD Rx/Research/mapathon/docs/paper/submission/apa.csl</vt:lpwstr>
  </property>
  <property fmtid="{D5CDD505-2E9C-101B-9397-08002B2CF9AE}" pid="4" name="suppress-bibliography">
    <vt:lpwstr>True</vt:lpwstr>
  </property>
</Properties>
</file>