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Declaration of interests</w:t>
      </w:r>
    </w:p>
    <w:p>
      <w:r>
        <w:rPr>
          <w:b/>
        </w:rPr>
        <w:t xml:space="preserve">Manuscript: </w:t>
      </w:r>
      <w:r>
        <w:t>Fermium Hazard Mapper: an open pipeline for flood and landslide risk mapping, trained and tested on radar-observed floods</w:t>
      </w:r>
    </w:p>
    <w:p>
      <w:r>
        <w:rPr>
          <w:b/>
        </w:rPr>
        <w:t xml:space="preserve">Authors: </w:t>
      </w:r>
      <w:r>
        <w:t>Md Rakib Hasan, Shoumik Zubyer</w:t>
      </w:r>
    </w:p>
    <w:p>
      <w:r>
        <w:t>☐ The authors declare that they have no known competing financial interests or personal relationships that could have appeared to influence the work reported in this paper.</w:t>
      </w:r>
    </w:p>
    <w:p>
      <w:r>
        <w:t>☒ The authors declare the following financial interests/personal relationships which may be considered as potential competing interests:</w:t>
      </w:r>
    </w:p>
    <w:p>
      <w:r>
        <w:t>Md Rakib Hasan is affiliated with Fermium Systems, which hosts the public dashboard. The software is released under the MIT licence and the dashboard is free to use. The authors declare no other competing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