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23 October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“Do flood susceptibility models know more than the flood record? Evidence from radar-observed floods in Bangladesh”</w:t>
      </w:r>
      <w:r>
        <w:t xml:space="preserve"> </w:t>
      </w:r>
      <w:r>
        <w:t xml:space="preserve">for consideration as an Original Paper in the Journal of Flood Risk Management.</w:t>
      </w:r>
    </w:p>
    <w:p>
      <w:pPr>
        <w:pStyle w:val="BodyText"/>
      </w:pPr>
      <w:r>
        <w:t xml:space="preserve">Flood susceptibility maps are widely produced to guide where flood risk should be managed, and in Bangladesh the studies closest to this one report areas under the ROC curve (AUC) of 0.87 to 0.98. Weather and river forecasts are routinely scored against persistence, yet those figures are rarely set against its equivalent, which a flood manager already holds, the record of where floods have been, and they usually come from random splits of spatially clustered points, which test a model beside its own training data. The manuscript tests both points in three regions with contrasting flood regimes, using flood extents mapped from Sentinel-1 radar for thirteen events and scoring every model on 10 km blocks held out from training over twenty block assignments.</w:t>
      </w:r>
    </w:p>
    <w:p>
      <w:pPr>
        <w:pStyle w:val="BodyText"/>
      </w:pPr>
      <w:r>
        <w:t xml:space="preserve">The main findings are these.</w:t>
      </w:r>
    </w:p>
    <w:p>
      <w:pPr>
        <w:pStyle w:val="Compact"/>
        <w:numPr>
          <w:ilvl w:val="0"/>
          <w:numId w:val="1001"/>
        </w:numPr>
      </w:pPr>
      <w:r>
        <w:t xml:space="preserve">Predicting each flood year from the years before it, in the three study regions and four validation regions that share no asset with them, gives 15 tests. The record’s lead over a gradient-boosted terrain model fell as the share of a flood reaching ground no earlier flood had reached rose (Spearman ρ = −0.775, p &lt; 0.001), whatever the length of the record, and the two were level at about 33 % of flooded assets on such new ground (95 % interval 18–41 %). The comparison therefore has an answer that depends on the flood regime rather than a single verdict.</w:t>
      </w:r>
    </w:p>
    <w:p>
      <w:pPr>
        <w:pStyle w:val="Compact"/>
        <w:numPr>
          <w:ilvl w:val="0"/>
          <w:numId w:val="1001"/>
        </w:numPr>
      </w:pPr>
      <w:r>
        <w:t xml:space="preserve">In Rangpur and Rajshahi, where few of the 2024 floods’ assets stood on new ground, the record ranked the flooding at 0.896 against 0.801 for the model and kept its lead under every check the manuscript applies, including masks re-mapped from a single satellite and wider validation blocks. On the cyclone-affected coast, where most flooding reached new ground, the model led. Given the record as a feature, the model beat both of its parts in 5 of 8 tests, all riverine.</w:t>
      </w:r>
    </w:p>
    <w:p>
      <w:pPr>
        <w:pStyle w:val="Compact"/>
        <w:numPr>
          <w:ilvl w:val="0"/>
          <w:numId w:val="1001"/>
        </w:numPr>
      </w:pPr>
      <w:r>
        <w:t xml:space="preserve">A global hydrodynamic hazard map (JRC, LISFLOOD-FP) was no stronger a rival than the model, trailing the record significantly in 5 of 15 tests and leading it in 4, all on floods that reached much new ground. The comparison thus bears on hazard maps generally, as it has long done in earthquake forecasting, where maps of past seismicity remain the reference that forecasts must beat.</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the choice between that record and a model follow how much of past floods fell on new ground, and that maps used to site shelters, embankments or schools be judged on held-out areas and later floods.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the coastal hazard surface is weak, and the composite risk has not yet been checked against losses. Every number in the text is generated directly from the pipeline outputs, the code is openly available at https://github.com/rakibhhridoy/rimes-mapathon, and the input data and outputs are archived at https://doi.org/10.5281/zenodo.23573843. A Supporting Information file gives the full pipeline settings and a sensitivity analysis of the risk weights.</w:t>
      </w:r>
    </w:p>
    <w:p>
      <w:pPr>
        <w:pStyle w:val="BodyText"/>
      </w:pPr>
      <w:r>
        <w:t xml:space="preserve">The main text runs to just under 6,000 words, excluding references, figures and tables, with 6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2026-10-22T19:22:19Z</dcterms:created>
  <dcterms:modified xsi:type="dcterms:W3CDTF">2026-10-22T19:22:19Z</dcterms:modified>
</cp:coreProperties>
</file>

<file path=docProps/custom.xml><?xml version="1.0" encoding="utf-8"?>
<Properties xmlns="http://schemas.openxmlformats.org/officeDocument/2006/custom-properties" xmlns:vt="http://schemas.openxmlformats.org/officeDocument/2006/docPropsVTypes"/>
</file>