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0.815 and 0.825 in the two riverine regions, below the radar record of earlier flooding at 0.905 and 0.868. Given that record as a feature, the model beat both, at 0.928 and 0.921, because terrain still ranks the ground no earlier flood reached. On the cyclone-affected coast, where most flooded assets stood on ground that had not flooded before, the model beat the record.</w:t>
      </w:r>
    </w:p>
    <w:p>
      <w:pPr>
        <w:pStyle w:val="Compact"/>
        <w:numPr>
          <w:ilvl w:val="0"/>
          <w:numId w:val="1001"/>
        </w:numPr>
      </w:pPr>
      <w:r>
        <w:t xml:space="preserve">Training on radar-observed extents rather than terrain-threshold labels raised the AUC by 0.064 to 0.125 on held-out areas, and by 0.042 to 0.123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close to chance,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https://doi.org/10.5281/zenodo.22978729. A Supporting Information file gives the full pipeline settings and a sensitivity analysis of the risk weights.</w:t>
      </w:r>
    </w:p>
    <w:p>
      <w:pPr>
        <w:pStyle w:val="BodyText"/>
      </w:pPr>
      <w:r>
        <w:t xml:space="preserve">The main text runs to about 4,700 words, excluding references, figures and tables, with 7 figures and 7 tables. The manuscript is original, has not been published, and is not under consideration elsewhere.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2026-09-27T07:49:26Z</dcterms:created>
  <dcterms:modified xsi:type="dcterms:W3CDTF">2026-09-27T07:49:26Z</dcterms:modified>
</cp:coreProperties>
</file>

<file path=docProps/custom.xml><?xml version="1.0" encoding="utf-8"?>
<Properties xmlns="http://schemas.openxmlformats.org/officeDocument/2006/custom-properties" xmlns:vt="http://schemas.openxmlformats.org/officeDocument/2006/docPropsVTypes"/>
</file>