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26 September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“Do flood susceptibility models know more than the flood record? Evidence from radar-observed floods in Bangladesh”</w:t>
      </w:r>
      <w:r>
        <w:t xml:space="preserve"> </w:t>
      </w:r>
      <w:r>
        <w:t xml:space="preserve">for consideration as an Original Paper in the Journal of Flood Risk Management.</w:t>
      </w:r>
    </w:p>
    <w:p>
      <w:pPr>
        <w:pStyle w:val="BodyText"/>
      </w:pPr>
      <w:r>
        <w:t xml:space="preserve">Flood susceptibility maps are widely produced to guide where flood risk should be managed, and in Bangladesh the studies closest to this one report areas under the ROC curve (AUC) of 0.87 to 0.98. Those figures are rarely set against the simplest alternative a flood manager already holds, the record of where floods have been, and they usually come from random splits of spatially clustered points, which test a model beside its own training data. The manuscript tests both points in three regions with contrasting flood regimes, using flood extents mapped from Sentinel-1 radar for thirteen events and scoring every model on 10 km blocks held out from training over twenty block assignments.</w:t>
      </w:r>
    </w:p>
    <w:p>
      <w:pPr>
        <w:pStyle w:val="BodyText"/>
      </w:pPr>
      <w:r>
        <w:t xml:space="preserve">The main findings are these.</w:t>
      </w:r>
    </w:p>
    <w:p>
      <w:pPr>
        <w:pStyle w:val="Compact"/>
        <w:numPr>
          <w:ilvl w:val="0"/>
          <w:numId w:val="1001"/>
        </w:numPr>
      </w:pPr>
      <w:r>
        <w:t xml:space="preserve">Trained on floods up to 2022, a gradient-boosted model ranked the ground the 2024 floods reached at 0.801 and 0.797 in the two riverine regions, below the radar record of earlier flooding at 0.896 and 0.851, although in Sylhet the gap closed when the model learned the same target as the test. In Rangpur and Rajshahi the record’s lead survived every check the manuscript applies, including masks re-mapped from a single satellite and wider validation blocks. Given that record as a feature, the model beat both in Rangpur and Rajshahi, at 0.924, because terrain still ranks the ground no earlier flood reached, and in Sylhet it matched the record. On the cyclone-affected coast, where most flooded assets stood on ground that had not flooded before, the model beat the record, although that lead fell within noise with wider validation blocks, while the riverine result grew stronger.</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Compact"/>
        <w:numPr>
          <w:ilvl w:val="0"/>
          <w:numId w:val="1001"/>
        </w:numPr>
      </w:pPr>
      <w:r>
        <w:t xml:space="preserve">A graph neural network linking neighbouring assets added nothing over ordinary tabular models, and elevation carried almost all of the terrain signal, while the topographic wetness index and height above nearest drainage added almost nothing.</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maps used to site shelters, embankments or schools be judged on held-out areas and later floods, and that areas without mapped infrastructure be treated as missing data rather than as safe.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the coastal hazard surface is weak, and the composite risk has not yet been checked against losses. Every number in the text is generated directly from the pipeline outputs, the code is openly available at https://github.com/rakibhhridoy/rimes-mapathon, and the input data and outputs are archived at https://doi.org/10.5281/zenodo.23130732. A Supporting Information file gives the full pipeline settings and a sensitivity analysis of the risk weights.</w:t>
      </w:r>
    </w:p>
    <w:p>
      <w:pPr>
        <w:pStyle w:val="BodyText"/>
      </w:pPr>
      <w:r>
        <w:t xml:space="preserve">The main text runs to about 5,700 words, excluding references, figures and tables, with 7 figures and 7 tables. The manuscript is original, has not been published, and is not under consideration elsewhere. The open-source software used here is described in a separate manuscript under review at SoftwareX (SOFTX-D-26-01375), which reports the software and its validation design and applies it across the whole country; this manuscript reports the scientific findings for the three study regions. The software paper repeats a few of the validation figures given here, as examples of what the software produces, but does not analyse them.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2026-10-04T15:49:20Z</dcterms:created>
  <dcterms:modified xsi:type="dcterms:W3CDTF">2026-10-04T15:49:20Z</dcterms:modified>
</cp:coreProperties>
</file>

<file path=docProps/custom.xml><?xml version="1.0" encoding="utf-8"?>
<Properties xmlns="http://schemas.openxmlformats.org/officeDocument/2006/custom-properties" xmlns:vt="http://schemas.openxmlformats.org/officeDocument/2006/docPropsVTypes"/>
</file>