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In Rangpur and Rajshahi a record built from a single earlier flood already ranked the 2024 floods above the model (0.812 against 0.768). In an independent validation region east of the Jamuna, without any asset the study regions hold, the record led again (0.940 against 0.810), although the October 2024 flood there reached only 51 mapped assets, so that lead is probable rather than established. On the coast, where the model ranked better overall, a list of the 2.5 % of assets earlier cyclones had reached still held 37 % of the assets Cyclone Remal flooded, against 9.5 % for an equally long list from the model.</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https://doi.org/10.5281/zenodo.23267002. A Supporting Information file gives the full pipeline settings and a sensitivity analysis of the risk weights.</w:t>
      </w:r>
    </w:p>
    <w:p>
      <w:pPr>
        <w:pStyle w:val="BodyText"/>
      </w:pPr>
      <w:r>
        <w:t xml:space="preserve">The main text runs to about 5,700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2026-10-20T18:17:22Z</dcterms:created>
  <dcterms:modified xsi:type="dcterms:W3CDTF">2026-10-20T18:17:22Z</dcterms:modified>
</cp:coreProperties>
</file>

<file path=docProps/custom.xml><?xml version="1.0" encoding="utf-8"?>
<Properties xmlns="http://schemas.openxmlformats.org/officeDocument/2006/custom-properties" xmlns:vt="http://schemas.openxmlformats.org/officeDocument/2006/docPropsVTypes"/>
</file>