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using flood extents mapped from Sentinel-1 radar for thirteen events as labels and reference, and scoring every model on 10 km blocks held out from training over 20 block assignments. Trained on floods up to 2022, a gradient-boosted model ranked the ground the 2024 floods reached at an AUC of 0.801 in Rangpur and Rajshahi and 0.797 in Sylhet, below the record of earlier flooding at 0.896 and 0.851. Given that record as a feature, the model beat both in Rangpur and Rajshahi, at 0.924, because terrain still ranks the ground no earlier flood reached, while in Sylhet it matched the record at 0.849. On the south-west coast, where most assets flooded by the 2024 cyclone stood on ground that had not flooded before, the model beat the record, at 0.807 against 0.668. Training on radar-observed extents rather than terrain-threshold labels raised the AUC by 0.101, 0.087 and 0.080 on held-out areas and by 0.069, 0.024 and 0.071 on the 2024 floods, the Sylhet gain within noise. A graph neural network linking neighbouring assets added nothing over tabular models, and elevation carried almost all of the terrain signal. The radar masks agreed only moderately with an independent MODIS flood map, so the scores measure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radar-observed flood extents make better training labels than terrain thresholds for ground a model has not seen. The second is whether a model anticipates a later flood better than the record of earlier ones, and the third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The regions differ in how water arrives.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5.5,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over every grid cell.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w:t>
      </w:r>
    </w:p>
    <w:bookmarkEnd w:id="23"/>
    <w:bookmarkEnd w:id="24"/>
    <w:bookmarkStart w:id="31"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the single block assignment behind the published outputs.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across the grid both hazard surfaces are close to chance, the terrain surface at 0.542 and the Kriged one at 0.538. The same two surfaces reach 0.657 and 0.666 in Rangpur and Rajshahi and 0.822 and 0.544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losing nothing measurable by leaving out 2024 in Rangpur and Rajshahi (</w:t>
      </w:r>
      <m:oMath>
        <m:r>
          <m:t>p</m:t>
        </m:r>
        <m:r>
          <m:rPr>
            <m:sty m:val="p"/>
          </m:rPr>
          <m:t>=</m:t>
        </m:r>
        <m:r>
          <m:t>0.281</m:t>
        </m:r>
      </m:oMath>
      <w:r>
        <w:t xml:space="preserve">) or on the coast, where it lost 0.028 (</w:t>
      </w:r>
      <m:oMath>
        <m:r>
          <m:t>p</m:t>
        </m:r>
        <m:r>
          <m:rPr>
            <m:sty m:val="p"/>
          </m:rPr>
          <m:t>=</m:t>
        </m:r>
        <m:r>
          <m:t>0.052</m:t>
        </m:r>
      </m:oMath>
      <w:r>
        <w:t xml:space="preserve">), and 0.053 in Sylhet (</w:t>
      </w:r>
      <m:oMath>
        <m:r>
          <m:t>p</m:t>
        </m:r>
        <m:r>
          <m:rPr>
            <m:sty m:val="p"/>
          </m:rPr>
          <m:t>=</m:t>
        </m:r>
        <m:r>
          <m:t>0.020</m:t>
        </m:r>
      </m:oMath>
      <w:r>
        <w:t xml:space="preserve">). In both riverine regions the record of earlier flooding ranks the 2024 flooding better, at 0.896 and 0.851, with the model ahead on only 2 and 4 of 20 assignments, whereas on the coast the model leads, at 0.807 against 0.668. Riverine flooding returns to much the same ground, and only 16.9 % and 22.3 % of the assets flooded in 2024 stood on ground no earlier event had reached, against 65.5 % on the coast, where each surge floods the stretch of coast where it lands.</w:t>
      </w:r>
    </w:p>
    <w:p>
      <w:pPr>
        <w:pStyle w:val="BodyText"/>
      </w:pPr>
      <w:r>
        <w:t xml:space="preserve">The record and the 2024 floods come from the same change detection, so ground that radar mistakes for water every monsoon, such as wet paddy, would count as flooded in both and favour the record. Surfaces that stay dark in the dry season, such as sand bars and permanent wetland, are already rejected, since a pixel must darken against its dry-season baseline. The comparison was therefore repeated twice on stricter test sets, once without the ground flagged in every earlier event and once without the ground the JRC record has ever seen under water, and each removal also takes away genuinely flood-prone ground, so the check can only work against the record. Without the always-flooded ground the record still led, by 0.063 in Rangpur and Rajshahi and 0.040 in Sylhet, ahead on 14 and 12 of 20 assignments, and outside recorded water it led in Rangpur and Rajshahi by 0.071, ahead on 15. These narrower leads cannot be told apart from noise (</w:t>
      </w:r>
      <m:oMath>
        <m:r>
          <m:t>p</m:t>
        </m:r>
        <m:r>
          <m:rPr>
            <m:sty m:val="p"/>
          </m:rPr>
          <m:t>=</m:t>
        </m:r>
        <m:r>
          <m:t>0.130</m:t>
        </m:r>
      </m:oMath>
      <w:r>
        <w:t xml:space="preserve">,</w:t>
      </w:r>
      <w:r>
        <w:t xml:space="preserve"> </w:t>
      </w:r>
      <m:oMath>
        <m:r>
          <m:t>p</m:t>
        </m:r>
        <m:r>
          <m:rPr>
            <m:sty m:val="p"/>
          </m:rPr>
          <m:t>=</m:t>
        </m:r>
        <m:r>
          <m:t>0.185</m:t>
        </m:r>
      </m:oMath>
      <w:r>
        <w:t xml:space="preserve"> </w:t>
      </w:r>
      <w:r>
        <w:t xml:space="preserve">and</w:t>
      </w:r>
      <w:r>
        <w:t xml:space="preserve"> </w:t>
      </w:r>
      <m:oMath>
        <m:r>
          <m:t>p</m:t>
        </m:r>
        <m:r>
          <m:rPr>
            <m:sty m:val="p"/>
          </m:rPr>
          <m:t>=</m:t>
        </m:r>
        <m:r>
          <m:t>0.146</m:t>
        </m:r>
      </m:oMath>
      <w:r>
        <w:t xml:space="preserve">), but none reverses. In Sylhet outside recorded water the model and the record were level, at 0.799 and 0.794 (</w:t>
      </w:r>
      <m:oMath>
        <m:r>
          <m:t>p</m:t>
        </m:r>
        <m:r>
          <m:rPr>
            <m:sty m:val="p"/>
          </m:rPr>
          <m:t>=</m:t>
        </m:r>
        <m:r>
          <m:t>0.912</m:t>
        </m:r>
      </m:oMath>
      <w:r>
        <w:t xml:space="preserve">), on the 72.0 % of assets that hold only 29.9 % of the ground the 2024 floods reached. Ground that radar could misread every year therefore accounts for part of the record’s lead in Rangpur and Rajshahi but does not overturn it, whereas in Sylhet the lead rests on the margins of the haor’s seasonal water, where floods return to the same ground. On the coast the model’s lead held on both sets, at 0.140 and 0.166.</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w:t>
      </w:r>
      <m:oMath>
        <m:r>
          <m:t>p</m:t>
        </m:r>
        <m:r>
          <m:rPr>
            <m:sty m:val="p"/>
          </m:rPr>
          <m:t>=</m:t>
        </m:r>
        <m:r>
          <m:t>0.013</m:t>
        </m:r>
      </m:oMath>
      <w:r>
        <w:t xml:space="preserve">,</w:t>
      </w:r>
      <w:r>
        <w:t xml:space="preserve"> </w:t>
      </w:r>
      <m:oMath>
        <m:r>
          <m:t>p</m:t>
        </m:r>
        <m:r>
          <m:rPr>
            <m:sty m:val="p"/>
          </m:rPr>
          <m:t>=</m:t>
        </m:r>
        <m:r>
          <m:t>0.333</m:t>
        </m:r>
      </m:oMath>
      <w:r>
        <w:t xml:space="preserve"> </w:t>
      </w:r>
      <w:r>
        <w:t xml:space="preserve">and</w:t>
      </w:r>
      <w:r>
        <w:t xml:space="preserve"> </w:t>
      </w:r>
      <m:oMath>
        <m:r>
          <m:t>p</m:t>
        </m:r>
        <m:r>
          <m:rPr>
            <m:sty m:val="p"/>
          </m:rPr>
          <m:t>=</m:t>
        </m:r>
        <m:r>
          <m:t>0.004</m:t>
        </m:r>
      </m:oMath>
      <w:r>
        <w:t xml:space="preserve">).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enchmark"/>
    <w:p>
      <w:pPr>
        <w:pStyle w:val="Heading2"/>
      </w:pPr>
      <w:r>
        <w:rPr>
          <w:rStyle w:val="SectionNumber"/>
        </w:rPr>
        <w:t xml:space="preserve">5.5</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The graph network trails the best ordinary model in every region but measurably only in Rangpur and Rajshahi, by 0.028 in AUC (</w:t>
      </w:r>
      <m:oMath>
        <m:r>
          <m:t>p</m:t>
        </m:r>
        <m:r>
          <m:rPr>
            <m:sty m:val="p"/>
          </m:rPr>
          <m:t>=</m:t>
        </m:r>
        <m:r>
          <m:t>0.003</m:t>
        </m:r>
      </m:oMath>
      <w:r>
        <w:t xml:space="preserve">, ahead on 2 of 20 assignments), while its gaps of 0.022 on the coast (</w:t>
      </w:r>
      <m:oMath>
        <m:r>
          <m:t>p</m:t>
        </m:r>
        <m:r>
          <m:rPr>
            <m:sty m:val="p"/>
          </m:rPr>
          <m:t>=</m:t>
        </m:r>
        <m:r>
          <m:t>0.243</m:t>
        </m:r>
      </m:oMath>
      <w:r>
        <w:t xml:space="preserve">, ahead on 6) and 0.003 in Sylhet (</w:t>
      </w:r>
      <m:oMath>
        <m:r>
          <m:t>p</m:t>
        </m:r>
        <m:r>
          <m:rPr>
            <m:sty m:val="p"/>
          </m:rPr>
          <m:t>=</m:t>
        </m:r>
        <m:r>
          <m:t>0.832</m:t>
        </m:r>
      </m:oMath>
      <w:r>
        <w:t xml:space="preserve">, ahead on 7) are within noise. Gradient boosting scores best in every region, although in Sylhet logistic regression, the graph network and the random forest all come within 0.012 of it.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29"/>
    <w:bookmarkStart w:id="30"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0"/>
    <w:bookmarkEnd w:id="31"/>
    <w:bookmarkStart w:id="37" w:name="sec:discussion"/>
    <w:p>
      <w:pPr>
        <w:pStyle w:val="Heading1"/>
      </w:pPr>
      <w:r>
        <w:rPr>
          <w:rStyle w:val="SectionNumber"/>
        </w:rPr>
        <w:t xml:space="preserve">6</w:t>
      </w:r>
      <w:r>
        <w:tab/>
      </w:r>
      <w:r>
        <w:t xml:space="preserve">Discussion</w:t>
      </w:r>
    </w:p>
    <w:bookmarkStart w:id="32" w:name="Xb4a8fee8a51e2cac850759879c84117ad532b59"/>
    <w:p>
      <w:pPr>
        <w:pStyle w:val="Heading2"/>
      </w:pPr>
      <w:r>
        <w:rPr>
          <w:rStyle w:val="SectionNumber"/>
        </w:rPr>
        <w:t xml:space="preserve">6.1</w:t>
      </w:r>
      <w:r>
        <w:tab/>
      </w:r>
      <w:r>
        <w:t xml:space="preserve">Labels decide what an accuracy figure means</w:t>
      </w:r>
    </w:p>
    <w:p>
      <w:pPr>
        <w:pStyle w:val="FirstParagraph"/>
      </w:pPr>
      <w:r>
        <w:t xml:space="preserve">The label source bears most directly on published flood maps.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what-the-flood-record-already-knows"/>
    <w:p>
      <w:pPr>
        <w:pStyle w:val="Heading2"/>
      </w:pPr>
      <w:r>
        <w:rPr>
          <w:rStyle w:val="SectionNumber"/>
        </w:rPr>
        <w:t xml:space="preserve">6.2</w:t>
      </w:r>
      <w:r>
        <w:tab/>
      </w:r>
      <w:r>
        <w:t xml:space="preserve">What the flood record already knows</w:t>
      </w:r>
    </w:p>
    <w:p>
      <w:pPr>
        <w:pStyle w:val="FirstParagraph"/>
      </w:pPr>
      <w:r>
        <w:t xml:space="preserve">Susceptibility studies rarely ask whether a model anticipates a later flood better than the record of earlier ones. In both riverine regions it did not, and in Rangpur and Rajshahi the record kept a smaller lead when the ground that radar could misread every monsoon was set aside, while in Sylhet its lead lay on the margins of the haor’s seasonal water. Given that record as a feature, the model beat both in Rangpur and Rajshahi, gaining on ground no earlier flood had reached, where the record cannot rank at all. In Sylhet it matched the record without improving on it. The record marks where water returns and the terrain ranks where it has not yet been seen, so a susceptibility map for a river basin with a radar flood history should at least report the record beside it, and where the record is informative the two can be combined. On the coast, where most of the ground Cyclone Remal flooded had not flooded in the earlier cyclones, the model trained on those cyclones did best. A study that reports accuracy without the past-flooding reference cannot show that its model knows more than the flood record already does, and the two are simple to compare wherever Sentinel-1 has observed earlier floods.</w:t>
      </w:r>
    </w:p>
    <w:bookmarkEnd w:id="33"/>
    <w:bookmarkStart w:id="34" w:name="what-the-graph-did-not-add"/>
    <w:p>
      <w:pPr>
        <w:pStyle w:val="Heading2"/>
      </w:pPr>
      <w:r>
        <w:rPr>
          <w:rStyle w:val="SectionNumber"/>
        </w:rPr>
        <w:t xml:space="preserve">6.3</w:t>
      </w:r>
      <w:r>
        <w:tab/>
      </w:r>
      <w:r>
        <w:t xml:space="preserve">What the graph did not add</w:t>
      </w:r>
    </w:p>
    <w:p>
      <w:pPr>
        <w:pStyle w:val="FirstParagraph"/>
      </w:pPr>
      <w:r>
        <w:t xml:space="preserve">The graph network rested on the reasoning that neighbouring assets flood together, yet on identical features and blocks it trailed the best tabular model in every region, measurably so only in Rangpur and Rajshahi, and within noise on the coast and in Sylhet. A likely reason is that the features already carry the neighbourhood, since nearby assets share elevation and distances to the same roads, schools and shelters, the access distances rank alongside or ahead of elevation, and a tree can split on those values directly, although this was not tested. Kriging fared no better, and in Sylhet, where it smoothed the scores towards the regional average, it ranked observed flooding across the grid at 0.544 against 0.822 for the terrain surface. At this scale neither linking assets into a graph nor interpolating between them consistently improved spatial prediction, and studies proposing either should report the tabular baseline on the same blocks.</w:t>
      </w:r>
    </w:p>
    <w:bookmarkEnd w:id="34"/>
    <w:bookmarkStart w:id="35"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is a stronger guide to the next riverine flood than a terrain model alone, and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on a coast where each surge strikes new ground.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differed by little more than 0.01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5"/>
    <w:bookmarkStart w:id="36"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close to chance there,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and setting aside the ground most exposed to a repeated error narrowed the record’s lead in Rangpur and Rajshahi to within noise without reversing it (Section 5.4).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6"/>
    <w:bookmarkEnd w:id="37"/>
    <w:bookmarkStart w:id="38" w:name="sec:conclusions"/>
    <w:p>
      <w:pPr>
        <w:pStyle w:val="Heading1"/>
      </w:pPr>
      <w:r>
        <w:rPr>
          <w:rStyle w:val="SectionNumber"/>
        </w:rPr>
        <w:t xml:space="preserve">7</w:t>
      </w:r>
      <w:r>
        <w:tab/>
      </w:r>
      <w:r>
        <w:t xml:space="preserve">Conclusions</w:t>
      </w:r>
    </w:p>
    <w:p>
      <w:pPr>
        <w:pStyle w:val="FirstParagraph"/>
      </w:pPr>
      <w:r>
        <w:t xml:space="preserve">Radar-observed flood extents made better training labels than terrain thresholds, by 0.101, 0.087 and 0.080 in AUC on held-out ground and by 0.069, 0.024 and 0.071 against later floods, which bears on how any map trained and scored against terrain-derived labels should be read. In the riverine regions the record of earlier floods predicted the 2024 flooding better than the model, and in Rangpur and Rajshahi a model given that record as a feature beat both, reaching 0.924, while in Sylhet it matched the record. Ordinary tabular models matched or beat a graph neural network, with elevation and the access distances carrying the signal. The terrain hazard surface ranked observed flooding across the grid at 0.657 and 0.822 in the riverine regions and close to chance on the coast. Every number in this paper is generated from the released pipeline outputs, so each can be checked and rebuilt.</w:t>
      </w:r>
    </w:p>
    <w:bookmarkEnd w:id="38"/>
    <w:bookmarkStart w:id="42"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9">
        <w:r>
          <w:rPr>
            <w:rStyle w:val="Hyperlink"/>
          </w:rPr>
          <w:t xml:space="preserve">https://doi.org/10.5281/zenodo.23108572</w:t>
        </w:r>
      </w:hyperlink>
      <w:r>
        <w:t xml:space="preserve">. The code that produced them is openly available at</w:t>
      </w:r>
      <w:r>
        <w:t xml:space="preserve"> </w:t>
      </w:r>
      <w:hyperlink r:id="rId40">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1">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2"/>
    <w:bookmarkStart w:id="43"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3"/>
    <w:bookmarkStart w:id="111" w:name="references"/>
    <w:p>
      <w:pPr>
        <w:pStyle w:val="Heading1"/>
      </w:pPr>
      <w:r>
        <w:t xml:space="preserve">References</w:t>
      </w:r>
    </w:p>
    <w:bookmarkStart w:id="110" w:name="refs"/>
    <w:bookmarkStart w:id="45"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4">
        <w:r>
          <w:rPr>
            <w:rStyle w:val="Hyperlink"/>
          </w:rPr>
          <w:t xml:space="preserve">https://doi.org/10.1016/j.jenvman.2022.116813</w:t>
        </w:r>
      </w:hyperlink>
    </w:p>
    <w:bookmarkEnd w:id="45"/>
    <w:bookmarkStart w:id="47"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6">
        <w:r>
          <w:rPr>
            <w:rStyle w:val="Hyperlink"/>
          </w:rPr>
          <w:t xml:space="preserve">https://doi.org/10.3390/rs16040656</w:t>
        </w:r>
      </w:hyperlink>
    </w:p>
    <w:bookmarkEnd w:id="47"/>
    <w:bookmarkStart w:id="49"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8">
        <w:r>
          <w:rPr>
            <w:rStyle w:val="Hyperlink"/>
          </w:rPr>
          <w:t xml:space="preserve">https://doi.org/10.5194/hess-26-4345-2022</w:t>
        </w:r>
      </w:hyperlink>
    </w:p>
    <w:bookmarkEnd w:id="49"/>
    <w:bookmarkStart w:id="51"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0">
        <w:r>
          <w:rPr>
            <w:rStyle w:val="Hyperlink"/>
          </w:rPr>
          <w:t xml:space="preserve">https://doi.org/10.1080/02626667909491834</w:t>
        </w:r>
      </w:hyperlink>
    </w:p>
    <w:bookmarkEnd w:id="51"/>
    <w:bookmarkStart w:id="53"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2">
        <w:r>
          <w:rPr>
            <w:rStyle w:val="Hyperlink"/>
          </w:rPr>
          <w:t xml:space="preserve">https://doi.org/10.1111/jfr3.70201</w:t>
        </w:r>
      </w:hyperlink>
    </w:p>
    <w:bookmarkEnd w:id="53"/>
    <w:bookmarkStart w:id="55"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4">
        <w:r>
          <w:rPr>
            <w:rStyle w:val="Hyperlink"/>
          </w:rPr>
          <w:t xml:space="preserve">https://doi.org/10.2760/094023</w:t>
        </w:r>
      </w:hyperlink>
    </w:p>
    <w:bookmarkEnd w:id="55"/>
    <w:bookmarkStart w:id="57"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6">
        <w:r>
          <w:rPr>
            <w:rStyle w:val="Hyperlink"/>
          </w:rPr>
          <w:t xml:space="preserve">https://arxiv.org/abs/1706.02216</w:t>
        </w:r>
      </w:hyperlink>
    </w:p>
    <w:bookmarkEnd w:id="57"/>
    <w:bookmarkStart w:id="59"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58">
        <w:r>
          <w:rPr>
            <w:rStyle w:val="Hyperlink"/>
          </w:rPr>
          <w:t xml:space="preserve">https://doi.org/10.1038/s41467-023-39698-6</w:t>
        </w:r>
      </w:hyperlink>
    </w:p>
    <w:bookmarkEnd w:id="59"/>
    <w:bookmarkStart w:id="6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0">
        <w:r>
          <w:rPr>
            <w:rStyle w:val="Hyperlink"/>
          </w:rPr>
          <w:t xml:space="preserve">https://doi.org/10.1016/j.gsf.2020.09.006</w:t>
        </w:r>
      </w:hyperlink>
    </w:p>
    <w:bookmarkEnd w:id="61"/>
    <w:bookmarkStart w:id="6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2">
        <w:r>
          <w:rPr>
            <w:rStyle w:val="Hyperlink"/>
          </w:rPr>
          <w:t xml:space="preserve">https://doi.org/10.1016/j.envc.2023.100833</w:t>
        </w:r>
      </w:hyperlink>
    </w:p>
    <w:bookmarkEnd w:id="63"/>
    <w:bookmarkStart w:id="65"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4">
        <w:r>
          <w:rPr>
            <w:rStyle w:val="Hyperlink"/>
          </w:rPr>
          <w:t xml:space="preserve">https://doi.org/10.1038/s41467-019-10442-3</w:t>
        </w:r>
      </w:hyperlink>
    </w:p>
    <w:bookmarkEnd w:id="65"/>
    <w:bookmarkStart w:id="67"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6">
        <w:r>
          <w:rPr>
            <w:rStyle w:val="Hyperlink"/>
          </w:rPr>
          <w:t xml:space="preserve">https://doi.org/10.1016/j.catena.2025.109029</w:t>
        </w:r>
      </w:hyperlink>
    </w:p>
    <w:bookmarkEnd w:id="67"/>
    <w:bookmarkStart w:id="6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68">
        <w:r>
          <w:rPr>
            <w:rStyle w:val="Hyperlink"/>
          </w:rPr>
          <w:t xml:space="preserve">https://doi.org/10.1023/A:1024068626366</w:t>
        </w:r>
      </w:hyperlink>
    </w:p>
    <w:bookmarkEnd w:id="69"/>
    <w:bookmarkStart w:id="7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0">
        <w:r>
          <w:rPr>
            <w:rStyle w:val="Hyperlink"/>
          </w:rPr>
          <w:t xml:space="preserve">https://doi.org/10.1145/1102351.1102430</w:t>
        </w:r>
      </w:hyperlink>
    </w:p>
    <w:bookmarkEnd w:id="71"/>
    <w:bookmarkStart w:id="7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2">
        <w:r>
          <w:rPr>
            <w:rStyle w:val="Hyperlink"/>
          </w:rPr>
          <w:t xml:space="preserve">https://doi.org/10.1016/j.jhydrol.2011.03.051</w:t>
        </w:r>
      </w:hyperlink>
    </w:p>
    <w:bookmarkEnd w:id="73"/>
    <w:bookmarkStart w:id="75"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4">
        <w:r>
          <w:rPr>
            <w:rStyle w:val="Hyperlink"/>
          </w:rPr>
          <w:t xml:space="preserve">https://doi.org/10.1038/nature20584</w:t>
        </w:r>
      </w:hyperlink>
    </w:p>
    <w:bookmarkEnd w:id="75"/>
    <w:bookmarkStart w:id="77"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6">
        <w:r>
          <w:rPr>
            <w:rStyle w:val="Hyperlink"/>
          </w:rPr>
          <w:t xml:space="preserve">https://doi.org/10.1038/s41467-020-18321-y</w:t>
        </w:r>
      </w:hyperlink>
    </w:p>
    <w:bookmarkEnd w:id="77"/>
    <w:bookmarkStart w:id="79"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78">
        <w:r>
          <w:rPr>
            <w:rStyle w:val="Hyperlink"/>
          </w:rPr>
          <w:t xml:space="preserve">https://doi.org/10.1111/jfr3.70089</w:t>
        </w:r>
      </w:hyperlink>
    </w:p>
    <w:bookmarkEnd w:id="79"/>
    <w:bookmarkStart w:id="8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0">
        <w:r>
          <w:rPr>
            <w:rStyle w:val="Hyperlink"/>
          </w:rPr>
          <w:t xml:space="preserve">https://doi.org/10.1111/ecog.02881</w:t>
        </w:r>
      </w:hyperlink>
    </w:p>
    <w:bookmarkEnd w:id="81"/>
    <w:bookmarkStart w:id="8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2">
        <w:r>
          <w:rPr>
            <w:rStyle w:val="Hyperlink"/>
          </w:rPr>
          <w:t xml:space="preserve">https://doi.org/10.1016/j.heliyon.2023.e16459</w:t>
        </w:r>
      </w:hyperlink>
    </w:p>
    <w:bookmarkEnd w:id="83"/>
    <w:bookmarkStart w:id="85"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4">
        <w:r>
          <w:rPr>
            <w:rStyle w:val="Hyperlink"/>
          </w:rPr>
          <w:t xml:space="preserve">https://doi.org/10.1111/jfr3.12913</w:t>
        </w:r>
      </w:hyperlink>
    </w:p>
    <w:bookmarkEnd w:id="85"/>
    <w:bookmarkStart w:id="87"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6">
        <w:r>
          <w:rPr>
            <w:rStyle w:val="Hyperlink"/>
          </w:rPr>
          <w:t xml:space="preserve">https://doi.org/10.1111/jfr3.12770</w:t>
        </w:r>
      </w:hyperlink>
    </w:p>
    <w:bookmarkEnd w:id="87"/>
    <w:bookmarkStart w:id="8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88">
        <w:r>
          <w:rPr>
            <w:rStyle w:val="Hyperlink"/>
          </w:rPr>
          <w:t xml:space="preserve">https://doi.org/10.1007/s00477-020-01862-5</w:t>
        </w:r>
      </w:hyperlink>
    </w:p>
    <w:bookmarkEnd w:id="89"/>
    <w:bookmarkStart w:id="9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0">
        <w:r>
          <w:rPr>
            <w:rStyle w:val="Hyperlink"/>
          </w:rPr>
          <w:t xml:space="preserve">https://doi.org/10.1038/s41586-021-03695-w</w:t>
        </w:r>
      </w:hyperlink>
    </w:p>
    <w:bookmarkEnd w:id="91"/>
    <w:bookmarkStart w:id="93"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2">
        <w:r>
          <w:rPr>
            <w:rStyle w:val="Hyperlink"/>
          </w:rPr>
          <w:t xml:space="preserve">https://doi.org/10.1080/01431161.2016.1192304</w:t>
        </w:r>
      </w:hyperlink>
    </w:p>
    <w:bookmarkEnd w:id="93"/>
    <w:bookmarkStart w:id="95"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4">
        <w:r>
          <w:rPr>
            <w:rStyle w:val="Hyperlink"/>
          </w:rPr>
          <w:t xml:space="preserve">https://doi.org/10.3390/rs11131581</w:t>
        </w:r>
      </w:hyperlink>
    </w:p>
    <w:bookmarkEnd w:id="95"/>
    <w:bookmarkStart w:id="97"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6">
        <w:r>
          <w:rPr>
            <w:rStyle w:val="Hyperlink"/>
          </w:rPr>
          <w:t xml:space="preserve">https://un-spider.org/advisory-support/recommended-practices/recommended-practice-google-earth-engine-flood-mapping</w:t>
        </w:r>
      </w:hyperlink>
      <w:r>
        <w:t xml:space="preserve">.</w:t>
      </w:r>
    </w:p>
    <w:bookmarkEnd w:id="97"/>
    <w:bookmarkStart w:id="99"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98">
        <w:r>
          <w:rPr>
            <w:rStyle w:val="Hyperlink"/>
          </w:rPr>
          <w:t xml:space="preserve">https://doi.org/10.1016/j.ecolmodel.2021.109692</w:t>
        </w:r>
      </w:hyperlink>
    </w:p>
    <w:bookmarkEnd w:id="99"/>
    <w:bookmarkStart w:id="101"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00">
        <w:r>
          <w:rPr>
            <w:rStyle w:val="Hyperlink"/>
          </w:rPr>
          <w:t xml:space="preserve">https://doi.org/10.1111/jfr3.13047</w:t>
        </w:r>
      </w:hyperlink>
    </w:p>
    <w:bookmarkEnd w:id="101"/>
    <w:bookmarkStart w:id="103"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2">
        <w:r>
          <w:rPr>
            <w:rStyle w:val="Hyperlink"/>
          </w:rPr>
          <w:t xml:space="preserve">https://doi.org/10.3389/feart.2023.1132722</w:t>
        </w:r>
      </w:hyperlink>
    </w:p>
    <w:bookmarkEnd w:id="103"/>
    <w:bookmarkStart w:id="105"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4">
        <w:r>
          <w:rPr>
            <w:rStyle w:val="Hyperlink"/>
          </w:rPr>
          <w:t xml:space="preserve">https://doi.org/10.1111/jfr3.70045</w:t>
        </w:r>
      </w:hyperlink>
    </w:p>
    <w:bookmarkEnd w:id="105"/>
    <w:bookmarkStart w:id="107"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6">
        <w:r>
          <w:rPr>
            <w:rStyle w:val="Hyperlink"/>
          </w:rPr>
          <w:t xml:space="preserve">https://doi.org/10.1145/775047.775151</w:t>
        </w:r>
      </w:hyperlink>
    </w:p>
    <w:bookmarkEnd w:id="107"/>
    <w:bookmarkStart w:id="109"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08">
        <w:r>
          <w:rPr>
            <w:rStyle w:val="Hyperlink"/>
          </w:rPr>
          <w:t xml:space="preserve">https://doi.org/10.1111/jfr3.12715</w:t>
        </w:r>
      </w:hyperlink>
    </w:p>
    <w:bookmarkEnd w:id="109"/>
    <w:bookmarkEnd w:id="110"/>
    <w:bookmarkEnd w:id="111"/>
    <w:bookmarkStart w:id="119" w:name="tables"/>
    <w:p>
      <w:pPr>
        <w:pStyle w:val="Heading1"/>
      </w:pPr>
      <w:r>
        <w:t xml:space="preserve">Tables</w:t>
      </w:r>
    </w:p>
    <w:bookmarkStart w:id="112"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2"/>
    <w:bookmarkStart w:id="113"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3"/>
    <w:bookmarkStart w:id="114"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4"/>
    <w:bookmarkStart w:id="115"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5"/>
    <w:bookmarkStart w:id="116" w:name="tab:validation"/>
    <w:p>
      <w:pPr>
        <w:pStyle w:val="TableCaption"/>
      </w:pPr>
      <w:r>
        <w:t xml:space="preserve">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16"/>
    <w:bookmarkStart w:id="117"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17"/>
    <w:bookmarkStart w:id="118"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18"/>
    <w:bookmarkEnd w:id="119"/>
    <w:bookmarkStart w:id="120"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arxiv.org/abs/1706.02216" TargetMode="External" /><Relationship Type="http://schemas.openxmlformats.org/officeDocument/2006/relationships/hyperlink" Id="rId88"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8"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2"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2" Target="https://doi.org/10.1016/j.jhydrol.2011.03.051" TargetMode="External" /><Relationship Type="http://schemas.openxmlformats.org/officeDocument/2006/relationships/hyperlink" Id="rId68" Target="https://doi.org/10.1023/A:1024068626366" TargetMode="External" /><Relationship Type="http://schemas.openxmlformats.org/officeDocument/2006/relationships/hyperlink" Id="rId74"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6"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90" Target="https://doi.org/10.1038/s41586-021-03695-w" TargetMode="External" /><Relationship Type="http://schemas.openxmlformats.org/officeDocument/2006/relationships/hyperlink" Id="rId92"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80" Target="https://doi.org/10.1111/ecog.02881" TargetMode="External" /><Relationship Type="http://schemas.openxmlformats.org/officeDocument/2006/relationships/hyperlink" Id="rId108" Target="https://doi.org/10.1111/jfr3.12715" TargetMode="External" /><Relationship Type="http://schemas.openxmlformats.org/officeDocument/2006/relationships/hyperlink" Id="rId86" Target="https://doi.org/10.1111/jfr3.12770" TargetMode="External" /><Relationship Type="http://schemas.openxmlformats.org/officeDocument/2006/relationships/hyperlink" Id="rId84" Target="https://doi.org/10.1111/jfr3.12913" TargetMode="External" /><Relationship Type="http://schemas.openxmlformats.org/officeDocument/2006/relationships/hyperlink" Id="rId100" Target="https://doi.org/10.1111/jfr3.13047" TargetMode="External" /><Relationship Type="http://schemas.openxmlformats.org/officeDocument/2006/relationships/hyperlink" Id="rId104" Target="https://doi.org/10.1111/jfr3.70045" TargetMode="External" /><Relationship Type="http://schemas.openxmlformats.org/officeDocument/2006/relationships/hyperlink" Id="rId78"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70" Target="https://doi.org/10.1145/1102351.1102430" TargetMode="External" /><Relationship Type="http://schemas.openxmlformats.org/officeDocument/2006/relationships/hyperlink" Id="rId106"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2" Target="https://doi.org/10.3389/feart.2023.1132722" TargetMode="External" /><Relationship Type="http://schemas.openxmlformats.org/officeDocument/2006/relationships/hyperlink" Id="rId94"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3108572"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6"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1706.02216" TargetMode="External" /><Relationship Type="http://schemas.openxmlformats.org/officeDocument/2006/relationships/hyperlink" Id="rId88"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8"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2"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2" Target="https://doi.org/10.1016/j.jhydrol.2011.03.051" TargetMode="External" /><Relationship Type="http://schemas.openxmlformats.org/officeDocument/2006/relationships/hyperlink" Id="rId68" Target="https://doi.org/10.1023/A:1024068626366" TargetMode="External" /><Relationship Type="http://schemas.openxmlformats.org/officeDocument/2006/relationships/hyperlink" Id="rId74"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6"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90" Target="https://doi.org/10.1038/s41586-021-03695-w" TargetMode="External" /><Relationship Type="http://schemas.openxmlformats.org/officeDocument/2006/relationships/hyperlink" Id="rId92"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80" Target="https://doi.org/10.1111/ecog.02881" TargetMode="External" /><Relationship Type="http://schemas.openxmlformats.org/officeDocument/2006/relationships/hyperlink" Id="rId108" Target="https://doi.org/10.1111/jfr3.12715" TargetMode="External" /><Relationship Type="http://schemas.openxmlformats.org/officeDocument/2006/relationships/hyperlink" Id="rId86" Target="https://doi.org/10.1111/jfr3.12770" TargetMode="External" /><Relationship Type="http://schemas.openxmlformats.org/officeDocument/2006/relationships/hyperlink" Id="rId84" Target="https://doi.org/10.1111/jfr3.12913" TargetMode="External" /><Relationship Type="http://schemas.openxmlformats.org/officeDocument/2006/relationships/hyperlink" Id="rId100" Target="https://doi.org/10.1111/jfr3.13047" TargetMode="External" /><Relationship Type="http://schemas.openxmlformats.org/officeDocument/2006/relationships/hyperlink" Id="rId104" Target="https://doi.org/10.1111/jfr3.70045" TargetMode="External" /><Relationship Type="http://schemas.openxmlformats.org/officeDocument/2006/relationships/hyperlink" Id="rId78"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70" Target="https://doi.org/10.1145/1102351.1102430" TargetMode="External" /><Relationship Type="http://schemas.openxmlformats.org/officeDocument/2006/relationships/hyperlink" Id="rId106"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2" Target="https://doi.org/10.3389/feart.2023.1132722" TargetMode="External" /><Relationship Type="http://schemas.openxmlformats.org/officeDocument/2006/relationships/hyperlink" Id="rId94"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3108572"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6"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2026-10-03T12:36:19Z</dcterms:created>
  <dcterms:modified xsi:type="dcterms:W3CDTF">2026-10-03T12:36:19Z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