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although in Sylhet the gap closed when the model learned the same target as the test. In Rangpur and Rajshahi the record’s lead survived every check the manuscript applies, including masks re-mapped from a single satellite and wider validation blocks.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 although that lead fell within noise with wider validation blocks, while the riverine result grew stronger.</w:t>
      </w:r>
    </w:p>
    <w:p>
      <w:pPr>
        <w:pStyle w:val="Compact"/>
        <w:numPr>
          <w:ilvl w:val="0"/>
          <w:numId w:val="1001"/>
        </w:numPr>
      </w:pPr>
      <w:r>
        <w:t xml:space="preserve">In Rangpur and Rajshahi a record built from a single earlier flood already ranked the 2024 floods above the model (0.812 against 0.768). In an independent validation region east of the Jamuna, without any asset the study regions hold, the record led again (0.940 against 0.810), although the October 2024 flood there reached only 51 mapped assets, so that lead is probable rather than established. On the coast, where the model ranked better overall, a list of the 2.5 % of assets earlier cyclones had reached still held 37 % of the assets Cyclone Remal flooded, against 9.5 % for an equally long list from the model.</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weak,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https://doi.org/10.5281/zenodo.23130732. A Supporting Information file gives the full pipeline settings and a sensitivity analysis of the risk weights.</w:t>
      </w:r>
    </w:p>
    <w:p>
      <w:pPr>
        <w:pStyle w:val="BodyText"/>
      </w:pPr>
      <w:r>
        <w:t xml:space="preserve">The main text runs to about 5,700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2026-10-09T16:02:33Z</dcterms:created>
  <dcterms:modified xsi:type="dcterms:W3CDTF">2026-10-09T16:02:33Z</dcterms:modified>
</cp:coreProperties>
</file>

<file path=docProps/custom.xml><?xml version="1.0" encoding="utf-8"?>
<Properties xmlns="http://schemas.openxmlformats.org/officeDocument/2006/custom-properties" xmlns:vt="http://schemas.openxmlformats.org/officeDocument/2006/docPropsVTypes"/>
</file>