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with flood extents mapped from Sentinel-1 radar for thirteen events as labels and reference and every model scored on 10 km blocks held out from training. Trained on floods up to 2022, a gradient-boosted model ranked the ground the 2024 river floods reached in Rangpur and Rajshahi at an AUC of 0.801, below the record of earlier flooding at 0.896, and the record kept its lead with masks re-mapped from a single satellite, with two other training targets and with 40 km blocks, and led even when built from a single earlier flood. In an independent riverine region east of the Jamuna the record led again, on a flood too small for the lead to be certain. Given the record as a feature, the model beat both, at 0.924, by ranking the ground no earlier flood had reached. In the Sylhet haor the record’s lead, 0.851 against 0.797, closed when the model learned the same target as the test, and on the cyclone-struck coast, where most flooded assets stood on ground no earlier cyclone had reached, the model’s lead did not survive wider blocks. The record was therefore the stronger guide where floods returned to the same ground. Radar-observed extents also made better training labels than terrain thresholds, by 0.101, 0.087 and 0.080 in AUC on held-out areas, a graph neural network added nothing over tabular models, and elevation carried almost all of the terrain signal. The radar masks agreed only moderately with an independent MODIS map, so every score measures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X.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The second is whether radar-observed flood extents make better training labels than terrain thresholds for ground a model has not seen, and the third, more briefly,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Graph neural networks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A fourth region east of the Jamuna, the districts of Sherpur, Jamalpur, Mymensingh and Tangail (Fig. 1a, e), serves only to validate the comparison with the flood record (Table 4) and leaves out the assets the Rangpur and Rajshahi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5.7).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Of the two hazard surfaces that cover the grid, the first interpolates the asset scores by ordinary Kriging, which can add little between assets where the scores lack spatial structure.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on a grid of about 500 m cells, both over the whole grid and, refitted for each assignment, over the cells of its test blocks.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Sentinel-1B failed in December 2021, so the earlier events were seen by two satellites and the 2024 ones by one, and since each mask takes the lowest backscatter in its window, more scenes can map more flooding. Re-mapped from Sentinel-1A alone, the earlier events shrank by up to 15.7 % and the record still led by 0.097. The published model learns a yes-or-no label from the earlier events while the record keeps their fraction, and retrained on flooding in any earlier event, which is how the 2024 floods are counted, or on the fraction itself, the model fell further behind, by 0.133 and 0.131. With 40 km blocks the lead grew to 0.126, and setting aside the ground that radar could mistake for water every monsoon, such as wet paddy, narrowed it to within noise without reversing it. In Sylhet the record’s lead closed, to 0.017 and 0.016, when the model learned the same target as the test, and outside the haor’s seasonal water the two were level, so the Sylhet result rests on the choice of target. On the coast the model’s lead fell within noise with 20 and 40 km blocks.</w:t>
      </w:r>
    </w:p>
    <w:p>
      <w:pPr>
        <w:pStyle w:val="BodyText"/>
      </w:pPr>
      <w:r>
        <w:t xml:space="preserve">East of the Jamuna, where the October 2024 flood reached only 51 assets, the record again led, at 0.940 against 0.810 on held-out blocks, but with a handful of flooded assets in most test blocks the lead fell short of significance (</w:t>
      </w:r>
      <m:oMath>
        <m:r>
          <m:t>p</m:t>
        </m:r>
        <m:r>
          <m:rPr>
            <m:sty m:val="p"/>
          </m:rPr>
          <m:t>=</m:t>
        </m:r>
        <m:r>
          <m:t>0.090</m:t>
        </m:r>
      </m:oMath>
      <w:r>
        <w:t xml:space="preserve">) except with 40 km blocks (</w:t>
      </w:r>
      <m:oMath>
        <m:r>
          <m:t>p</m:t>
        </m:r>
        <m:r>
          <m:rPr>
            <m:sty m:val="p"/>
          </m:rPr>
          <m:t>=</m:t>
        </m:r>
        <m:r>
          <m:t>0.023</m:t>
        </m:r>
      </m:oMath>
      <w:r>
        <w:t xml:space="preserve">). Out of fold over the whole region it led at 0.925 against 0.825, with a block-bootstrap interval for the difference from</w:t>
      </w:r>
      <w:r>
        <w:t xml:space="preserve"> </w:t>
      </w:r>
      <m:oMath>
        <m:r>
          <m:rPr>
            <m:sty m:val="p"/>
          </m:rPr>
          <m:t>−</m:t>
        </m:r>
      </m:oMath>
      <w:r>
        <w:t xml:space="preserve">0.191 to 0.003, and its list of 7.1 % of assets held 88.2 % of the flooded assets against 21.6 %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Rebuilt from a single earlier flood, the record already ranked the 2024 flooding in Rangpur and Rajshahi above the model, at 0.812 against 0.768, whereas in Sylhet it needed both earlier floods and on the coast it trailed at every length (Supporting Information, Section S6, Table S2). As skill over the record, the share of its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what-the-flood-record-already-knows"/>
    <w:p>
      <w:pPr>
        <w:pStyle w:val="Heading2"/>
      </w:pPr>
      <w:r>
        <w:rPr>
          <w:rStyle w:val="SectionNumber"/>
        </w:rPr>
        <w:t xml:space="preserve">6.1</w:t>
      </w:r>
      <w:r>
        <w:tab/>
      </w:r>
      <w:r>
        <w:t xml:space="preserve">What the flood record already knows</w:t>
      </w:r>
    </w:p>
    <w:p>
      <w:pPr>
        <w:pStyle w:val="FirstParagraph"/>
      </w:pPr>
      <w:r>
        <w:t xml:space="preserve">Susceptibility studies rarely ask whether a model anticipates a later flood better than the record of earlier ones, and here the answer followed how often floods returned to the same ground. In Rangpur and Rajshahi, where most of the ground the 2024 floods reached had flooded before, the record led under every check applied. The model added to it only when given the record as a feature, gaining on ground no earlier flood had reached, where the record cannot rank at all. In the Sylhet haor the record’s lead depended on what the model was trained to predict and lay on the margins of the seasonal water. A published multi-criteria map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 rather than assets. On the coast, where most of the ground Cyclone Remal flooded had not flooded in the earlier cyclones, the model’s lead did not survive wider blocks. Three regions and one small validation flood cannot establish that pattern, but they show that the comparison has to be made region by region rather than assumed. The record marks where water returns and the terrain ranks where it has not yet been seen, so a susceptibility map for a river basin with a radar flood history should at least report the record beside it, and where the record is informative the two can be combined. A study that reports accuracy without that reference cannot show that its model knows more than the flood record already does.</w:t>
      </w:r>
    </w:p>
    <w:bookmarkEnd w:id="33"/>
    <w:bookmarkStart w:id="34"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4"/>
    <w:bookmarkStart w:id="35" w:name="Xa0a4390a637e12f1989c7cc4b426b20e3374b13"/>
    <w:p>
      <w:pPr>
        <w:pStyle w:val="Heading2"/>
      </w:pPr>
      <w:r>
        <w:rPr>
          <w:rStyle w:val="SectionNumber"/>
        </w:rPr>
        <w:t xml:space="preserve">6.3</w:t>
      </w:r>
      <w:r>
        <w:tab/>
      </w:r>
      <w:r>
        <w:t xml:space="preserve">What the graph and interpolation did not add</w:t>
      </w:r>
    </w:p>
    <w:p>
      <w:pPr>
        <w:pStyle w:val="FirstParagraph"/>
      </w:pPr>
      <w:r>
        <w:t xml:space="preserve">On identical features and blocks the graph network trailed the best tabular model in every region, measurably only in Rangpur and Rajshahi, probably because the features already carry the neighbourhood, since nearby assets share elevation and distances to the same services, although this was not tested. The graphs that reported gains elsewhere linked catchments or sub-watersheds along the flow of water</w:t>
      </w:r>
      <w:r>
        <w:t xml:space="preserve"> </w:t>
      </w:r>
      <w:r>
        <w:t xml:space="preserve">(Liu et al., 2026; Sharma &amp; Sharma, 2026)</w:t>
      </w:r>
      <w:r>
        <w:t xml:space="preserve">, whereas this one linked each asset to its nearest neighbours, so the result bears on proximity graphs of assets, and whether a river-connected graph would help remains untested. Kriging fared no better, and over the whole grid in Sylhet it ranked observed flooding at 0.544 against 0.822 for the terrain surface. Studies proposing either should report the tabular baseline on the same blocks.</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First, where Sentinel-1 has observed several floods, the record of where water has already stood was at least as good a guide to the next riverine flood as a terrain model alone, and in Rangpur and Rajshahi a better one.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and even there the record made the better short list of assets to protect first.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were almost indistinguishable in AUC, so better OpenStreetMap coverage of rural unions would probably improve the map more than a new model would. Disruption beyond a flooded asset, which asset-level exposure omits, needs network modelling such as that developed for Accra</w:t>
      </w:r>
      <w:r>
        <w:t xml:space="preserve"> </w:t>
      </w:r>
      <w:r>
        <w:t xml:space="preserve">(Schotten &amp; Bachmann, 2023)</w:t>
      </w:r>
      <w:r>
        <w:t xml:space="preserve">.</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since both hazard surfaces are weak there, the terrain surface reaching 0.610 on held-out ground, because surge flooding follows embankments, tidal channels and landfall position, which the pipeline does not yet ingest. The coastal composite is therefore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The temporal test rests on a single flood year, and in Rangpur and Rajshahi on small floods that stayed largely within earlier extents, so a larger flood reaching new ground might favour the model, as on the coast.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In the riverine region where floods returned to the same ground, a terrain-based flood susceptibility model did not know more than the flood record. In Rangpur and Rajshahi the record of earlier floods predicted the 2024 flooding better than the model under every check applied, and a model given that record as a feature beat both, reaching 0.924, by ranking the ground no earlier flood had reached. In the Sylhet haor the comparison turned on the model’s training target, and on the cyclone-struck coast it remains open. Radar-observed flood extents made better training labels than terrain thresholds, by 0.101, 0.087 and 0.080 in AUC on held-out ground and by 0.069, 0.024 and 0.071 against later floods. Ordinary tabular models matched or beat a graph neural network, and the terrain hazard surface ranked observed flooding on held-out ground at 0.656 and 0.763 in the riverine regions and only 0.610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https://doi.org/10.5281/zenodo.23130732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34" w:name="references"/>
    <w:p>
      <w:pPr>
        <w:pStyle w:val="Heading1"/>
      </w:pPr>
      <w:r>
        <w:t xml:space="preserve">References</w:t>
      </w:r>
    </w:p>
    <w:bookmarkStart w:id="133"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3">
        <w:r>
          <w:rPr>
            <w:rStyle w:val="Hyperlink"/>
          </w:rPr>
          <w:t xml:space="preserve">https://doi.org/10.1023/B:NHAZ.0000007172.62651.2b</w:t>
        </w:r>
      </w:hyperlink>
    </w:p>
    <w:bookmarkEnd w:id="54"/>
    <w:bookmarkStart w:id="56"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5">
        <w:r>
          <w:rPr>
            <w:rStyle w:val="Hyperlink"/>
          </w:rPr>
          <w:t xml:space="preserve">https://doi.org/10.1111/jfr3.70201</w:t>
        </w:r>
      </w:hyperlink>
    </w:p>
    <w:bookmarkEnd w:id="56"/>
    <w:bookmarkStart w:id="58"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7">
        <w:r>
          <w:rPr>
            <w:rStyle w:val="Hyperlink"/>
          </w:rPr>
          <w:t xml:space="preserve">https://doi.org/10.1007/s44288-026-00759-0</w:t>
        </w:r>
      </w:hyperlink>
    </w:p>
    <w:bookmarkEnd w:id="58"/>
    <w:bookmarkStart w:id="60"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9">
        <w:r>
          <w:rPr>
            <w:rStyle w:val="Hyperlink"/>
          </w:rPr>
          <w:t xml:space="preserve">https://doi.org/10.2760/094023</w:t>
        </w:r>
      </w:hyperlink>
    </w:p>
    <w:bookmarkEnd w:id="60"/>
    <w:bookmarkStart w:id="62"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61">
        <w:r>
          <w:rPr>
            <w:rStyle w:val="Hyperlink"/>
          </w:rPr>
          <w:t xml:space="preserve">https://doi.org/10.1109/CVPRW59228.2023.00209</w:t>
        </w:r>
      </w:hyperlink>
    </w:p>
    <w:bookmarkEnd w:id="62"/>
    <w:bookmarkStart w:id="64"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3">
        <w:r>
          <w:rPr>
            <w:rStyle w:val="Hyperlink"/>
          </w:rPr>
          <w:t xml:space="preserve">https://doi.org/10.1016/j.geomorph.2006.04.007</w:t>
        </w:r>
      </w:hyperlink>
    </w:p>
    <w:bookmarkEnd w:id="64"/>
    <w:bookmarkStart w:id="66"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5">
        <w:r>
          <w:rPr>
            <w:rStyle w:val="Hyperlink"/>
          </w:rPr>
          <w:t xml:space="preserve">https://doi.org/10.5194/isprs-archives-XLIII-B3-2022-1097-2022</w:t>
        </w:r>
      </w:hyperlink>
    </w:p>
    <w:bookmarkEnd w:id="66"/>
    <w:bookmarkStart w:id="68"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7">
        <w:r>
          <w:rPr>
            <w:rStyle w:val="Hyperlink"/>
          </w:rPr>
          <w:t xml:space="preserve">https://arxiv.org/abs/1706.02216</w:t>
        </w:r>
      </w:hyperlink>
    </w:p>
    <w:bookmarkEnd w:id="68"/>
    <w:bookmarkStart w:id="70"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9">
        <w:r>
          <w:rPr>
            <w:rStyle w:val="Hyperlink"/>
          </w:rPr>
          <w:t xml:space="preserve">https://doi.org/10.1088/1748-9326/abc216</w:t>
        </w:r>
      </w:hyperlink>
    </w:p>
    <w:bookmarkEnd w:id="70"/>
    <w:bookmarkStart w:id="72"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71">
        <w:r>
          <w:rPr>
            <w:rStyle w:val="Hyperlink"/>
          </w:rPr>
          <w:t xml:space="preserve">https://doi.org/10.1088/1748-9326/ac4d4f</w:t>
        </w:r>
      </w:hyperlink>
    </w:p>
    <w:bookmarkEnd w:id="72"/>
    <w:bookmarkStart w:id="74"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73">
        <w:r>
          <w:rPr>
            <w:rStyle w:val="Hyperlink"/>
          </w:rPr>
          <w:t xml:space="preserve">https://doi.org/10.1038/s41467-023-39698-6</w:t>
        </w:r>
      </w:hyperlink>
    </w:p>
    <w:bookmarkEnd w:id="74"/>
    <w:bookmarkStart w:id="76"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5">
        <w:r>
          <w:rPr>
            <w:rStyle w:val="Hyperlink"/>
          </w:rPr>
          <w:t xml:space="preserve">https://doi.org/10.1016/j.gsf.2020.09.006</w:t>
        </w:r>
      </w:hyperlink>
    </w:p>
    <w:bookmarkEnd w:id="76"/>
    <w:bookmarkStart w:id="78"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7">
        <w:r>
          <w:rPr>
            <w:rStyle w:val="Hyperlink"/>
          </w:rPr>
          <w:t xml:space="preserve">https://doi.org/10.1016/j.envc.2023.100833</w:t>
        </w:r>
      </w:hyperlink>
    </w:p>
    <w:bookmarkEnd w:id="78"/>
    <w:bookmarkStart w:id="80"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79">
        <w:r>
          <w:rPr>
            <w:rStyle w:val="Hyperlink"/>
          </w:rPr>
          <w:t xml:space="preserve">https://doi.org/10.1038/s41467-019-10442-3</w:t>
        </w:r>
      </w:hyperlink>
    </w:p>
    <w:bookmarkEnd w:id="80"/>
    <w:bookmarkStart w:id="82" w:name="ref-liu2026"/>
    <w:p>
      <w:pPr>
        <w:pStyle w:val="Bibliography"/>
      </w:pPr>
      <w:r>
        <w:t xml:space="preserve">Liu, J., Zhao, G., Xiong, J., &amp; Kinouchi, T. (2026). A graph-based deep learning approach for daily flash flood susceptibility modeling in</w:t>
      </w:r>
      <w:r>
        <w:t xml:space="preserve"> </w:t>
      </w:r>
      <w:r>
        <w:t xml:space="preserve">China</w:t>
      </w:r>
      <w:r>
        <w:t xml:space="preserve">.</w:t>
      </w:r>
      <w:r>
        <w:t xml:space="preserve"> </w:t>
      </w:r>
      <w:r>
        <w:rPr>
          <w:i/>
          <w:iCs/>
        </w:rPr>
        <w:t xml:space="preserve">Water Resources Research</w:t>
      </w:r>
      <w:r>
        <w:t xml:space="preserve">,</w:t>
      </w:r>
      <w:r>
        <w:t xml:space="preserve"> </w:t>
      </w:r>
      <w:r>
        <w:rPr>
          <w:i/>
          <w:iCs/>
        </w:rPr>
        <w:t xml:space="preserve">62</w:t>
      </w:r>
      <w:r>
        <w:t xml:space="preserve">, e2025WR041360.</w:t>
      </w:r>
      <w:r>
        <w:t xml:space="preserve"> </w:t>
      </w:r>
      <w:hyperlink r:id="rId81">
        <w:r>
          <w:rPr>
            <w:rStyle w:val="Hyperlink"/>
          </w:rPr>
          <w:t xml:space="preserve">https://doi.org/10.1029/2025WR041360</w:t>
        </w:r>
      </w:hyperlink>
    </w:p>
    <w:bookmarkEnd w:id="82"/>
    <w:bookmarkStart w:id="84"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83">
        <w:r>
          <w:rPr>
            <w:rStyle w:val="Hyperlink"/>
          </w:rPr>
          <w:t xml:space="preserve">https://doi.org/10.1016/j.catena.2025.109029</w:t>
        </w:r>
      </w:hyperlink>
    </w:p>
    <w:bookmarkEnd w:id="84"/>
    <w:bookmarkStart w:id="86"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85">
        <w:r>
          <w:rPr>
            <w:rStyle w:val="Hyperlink"/>
          </w:rPr>
          <w:t xml:space="preserve">https://doi.org/10.1023/A:1024068626366</w:t>
        </w:r>
      </w:hyperlink>
    </w:p>
    <w:bookmarkEnd w:id="86"/>
    <w:bookmarkStart w:id="88"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7">
        <w:r>
          <w:rPr>
            <w:rStyle w:val="Hyperlink"/>
          </w:rPr>
          <w:t xml:space="preserve">https://doi.org/10.1145/1102351.1102430</w:t>
        </w:r>
      </w:hyperlink>
    </w:p>
    <w:bookmarkEnd w:id="88"/>
    <w:bookmarkStart w:id="90"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9">
        <w:r>
          <w:rPr>
            <w:rStyle w:val="Hyperlink"/>
          </w:rPr>
          <w:t xml:space="preserve">https://doi.org/10.1016/j.jhydrol.2011.03.051</w:t>
        </w:r>
      </w:hyperlink>
    </w:p>
    <w:bookmarkEnd w:id="90"/>
    <w:bookmarkStart w:id="92"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91">
        <w:r>
          <w:rPr>
            <w:rStyle w:val="Hyperlink"/>
          </w:rPr>
          <w:t xml:space="preserve">https://doi.org/10.1038/nature20584</w:t>
        </w:r>
      </w:hyperlink>
    </w:p>
    <w:bookmarkEnd w:id="92"/>
    <w:bookmarkStart w:id="94"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93">
        <w:r>
          <w:rPr>
            <w:rStyle w:val="Hyperlink"/>
          </w:rPr>
          <w:t xml:space="preserve">https://doi.org/10.1038/s41467-020-18321-y</w:t>
        </w:r>
      </w:hyperlink>
    </w:p>
    <w:bookmarkEnd w:id="94"/>
    <w:bookmarkStart w:id="96"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95">
        <w:r>
          <w:rPr>
            <w:rStyle w:val="Hyperlink"/>
          </w:rPr>
          <w:t xml:space="preserve">https://doi.org/10.1111/jfr3.70089</w:t>
        </w:r>
      </w:hyperlink>
    </w:p>
    <w:bookmarkEnd w:id="96"/>
    <w:bookmarkStart w:id="98"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7">
        <w:r>
          <w:rPr>
            <w:rStyle w:val="Hyperlink"/>
          </w:rPr>
          <w:t xml:space="preserve">https://doi.org/10.1111/ecog.02881</w:t>
        </w:r>
      </w:hyperlink>
    </w:p>
    <w:bookmarkEnd w:id="98"/>
    <w:bookmarkStart w:id="100"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9">
        <w:r>
          <w:rPr>
            <w:rStyle w:val="Hyperlink"/>
          </w:rPr>
          <w:t xml:space="preserve">https://doi.org/10.1016/j.heliyon.2023.e16459</w:t>
        </w:r>
      </w:hyperlink>
    </w:p>
    <w:bookmarkEnd w:id="100"/>
    <w:bookmarkStart w:id="102"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101">
        <w:r>
          <w:rPr>
            <w:rStyle w:val="Hyperlink"/>
          </w:rPr>
          <w:t xml:space="preserve">https://doi.org/10.1111/jfr3.12913</w:t>
        </w:r>
      </w:hyperlink>
    </w:p>
    <w:bookmarkEnd w:id="102"/>
    <w:bookmarkStart w:id="104" w:name="ref-sharma2026"/>
    <w:p>
      <w:pPr>
        <w:pStyle w:val="Bibliography"/>
      </w:pPr>
      <w:r>
        <w:t xml:space="preserve">Sharma, P., &amp; Sharma, S. (2026).</w:t>
      </w:r>
      <w:r>
        <w:t xml:space="preserve"> </w:t>
      </w:r>
      <w:r>
        <w:rPr>
          <w:i/>
          <w:iCs/>
        </w:rPr>
        <w:t xml:space="preserve">Flood risk follows valleys, not grids: Graph neural networks for flash flood susceptibility mapping in</w:t>
      </w:r>
      <w:r>
        <w:rPr>
          <w:i/>
          <w:iCs/>
        </w:rPr>
        <w:t xml:space="preserve"> </w:t>
      </w:r>
      <w:r>
        <w:rPr>
          <w:i/>
          <w:iCs/>
        </w:rPr>
        <w:t xml:space="preserve">Himachal Pradesh</w:t>
      </w:r>
      <w:r>
        <w:rPr>
          <w:i/>
          <w:iCs/>
        </w:rPr>
        <w:t xml:space="preserve"> </w:t>
      </w:r>
      <w:r>
        <w:rPr>
          <w:i/>
          <w:iCs/>
        </w:rPr>
        <w:t xml:space="preserve">with conformal uncertainty quantification</w:t>
      </w:r>
      <w:r>
        <w:t xml:space="preserve">. arXiv preprint 2603.15681, not peer reviewed.</w:t>
      </w:r>
      <w:r>
        <w:t xml:space="preserve"> </w:t>
      </w:r>
      <w:hyperlink r:id="rId103">
        <w:r>
          <w:rPr>
            <w:rStyle w:val="Hyperlink"/>
          </w:rPr>
          <w:t xml:space="preserve">https://doi.org/10.48550/arXiv.2603.15681</w:t>
        </w:r>
      </w:hyperlink>
    </w:p>
    <w:bookmarkEnd w:id="104"/>
    <w:bookmarkStart w:id="106"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105">
        <w:r>
          <w:rPr>
            <w:rStyle w:val="Hyperlink"/>
          </w:rPr>
          <w:t xml:space="preserve">https://doi.org/10.1111/jfr3.12770</w:t>
        </w:r>
      </w:hyperlink>
    </w:p>
    <w:bookmarkEnd w:id="106"/>
    <w:bookmarkStart w:id="108"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107">
        <w:r>
          <w:rPr>
            <w:rStyle w:val="Hyperlink"/>
          </w:rPr>
          <w:t xml:space="preserve">https://doi.org/10.2166/wcc.2026.264</w:t>
        </w:r>
      </w:hyperlink>
    </w:p>
    <w:bookmarkEnd w:id="108"/>
    <w:bookmarkStart w:id="110"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109">
        <w:r>
          <w:rPr>
            <w:rStyle w:val="Hyperlink"/>
          </w:rPr>
          <w:t xml:space="preserve">https://doi.org/10.1007/s00477-020-01862-5</w:t>
        </w:r>
      </w:hyperlink>
    </w:p>
    <w:bookmarkEnd w:id="110"/>
    <w:bookmarkStart w:id="112"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11">
        <w:r>
          <w:rPr>
            <w:rStyle w:val="Hyperlink"/>
          </w:rPr>
          <w:t xml:space="preserve">https://doi.org/10.1038/s41586-021-03695-w</w:t>
        </w:r>
      </w:hyperlink>
    </w:p>
    <w:bookmarkEnd w:id="112"/>
    <w:bookmarkStart w:id="114"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13">
        <w:r>
          <w:rPr>
            <w:rStyle w:val="Hyperlink"/>
          </w:rPr>
          <w:t xml:space="preserve">https://doi.org/10.1109/JSTARS.2023.3244098</w:t>
        </w:r>
      </w:hyperlink>
    </w:p>
    <w:bookmarkEnd w:id="114"/>
    <w:bookmarkStart w:id="116"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15">
        <w:r>
          <w:rPr>
            <w:rStyle w:val="Hyperlink"/>
          </w:rPr>
          <w:t xml:space="preserve">https://doi.org/10.1080/01431161.2016.1192304</w:t>
        </w:r>
      </w:hyperlink>
    </w:p>
    <w:bookmarkEnd w:id="116"/>
    <w:bookmarkStart w:id="118"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17">
        <w:r>
          <w:rPr>
            <w:rStyle w:val="Hyperlink"/>
          </w:rPr>
          <w:t xml:space="preserve">https://doi.org/10.3390/rs11131581</w:t>
        </w:r>
      </w:hyperlink>
    </w:p>
    <w:bookmarkEnd w:id="118"/>
    <w:bookmarkStart w:id="120"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19">
        <w:r>
          <w:rPr>
            <w:rStyle w:val="Hyperlink"/>
          </w:rPr>
          <w:t xml:space="preserve">https://un-spider.org/advisory-support/recommended-practices/recommended-practice-google-earth-engine-flood-mapping</w:t>
        </w:r>
      </w:hyperlink>
      <w:r>
        <w:t xml:space="preserve">.</w:t>
      </w:r>
    </w:p>
    <w:bookmarkEnd w:id="120"/>
    <w:bookmarkStart w:id="122"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21">
        <w:r>
          <w:rPr>
            <w:rStyle w:val="Hyperlink"/>
          </w:rPr>
          <w:t xml:space="preserve">https://doi.org/10.1016/j.ecolmodel.2021.109692</w:t>
        </w:r>
      </w:hyperlink>
    </w:p>
    <w:bookmarkEnd w:id="122"/>
    <w:bookmarkStart w:id="124"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23">
        <w:r>
          <w:rPr>
            <w:rStyle w:val="Hyperlink"/>
          </w:rPr>
          <w:t xml:space="preserve">https://doi.org/10.3389/feart.2023.1132722</w:t>
        </w:r>
      </w:hyperlink>
    </w:p>
    <w:bookmarkEnd w:id="124"/>
    <w:bookmarkStart w:id="126" w:name="ref-wanggat2023"/>
    <w:p>
      <w:pPr>
        <w:pStyle w:val="Bibliography"/>
      </w:pPr>
      <w:r>
        <w:t xml:space="preserve">Wang, Z., Lyu, H., &amp; Zhang, C. (2023). Pluvial flood susceptibility mapping for data-scarce urban areas using graph attention network and basic flood conditioning factors.</w:t>
      </w:r>
      <w:r>
        <w:t xml:space="preserve"> </w:t>
      </w:r>
      <w:r>
        <w:rPr>
          <w:i/>
          <w:iCs/>
        </w:rPr>
        <w:t xml:space="preserve">Geocarto International</w:t>
      </w:r>
      <w:r>
        <w:t xml:space="preserve">,</w:t>
      </w:r>
      <w:r>
        <w:t xml:space="preserve"> </w:t>
      </w:r>
      <w:r>
        <w:rPr>
          <w:i/>
          <w:iCs/>
        </w:rPr>
        <w:t xml:space="preserve">38</w:t>
      </w:r>
      <w:r>
        <w:t xml:space="preserve">, 2275692.</w:t>
      </w:r>
      <w:r>
        <w:t xml:space="preserve"> </w:t>
      </w:r>
      <w:hyperlink r:id="rId125">
        <w:r>
          <w:rPr>
            <w:rStyle w:val="Hyperlink"/>
          </w:rPr>
          <w:t xml:space="preserve">https://doi.org/10.1080/10106049.2023.2275692</w:t>
        </w:r>
      </w:hyperlink>
    </w:p>
    <w:bookmarkEnd w:id="126"/>
    <w:bookmarkStart w:id="128"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27">
        <w:r>
          <w:rPr>
            <w:rStyle w:val="Hyperlink"/>
          </w:rPr>
          <w:t xml:space="preserve">https://doi.org/10.1111/jfr3.70045</w:t>
        </w:r>
      </w:hyperlink>
    </w:p>
    <w:bookmarkEnd w:id="128"/>
    <w:bookmarkStart w:id="130"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29">
        <w:r>
          <w:rPr>
            <w:rStyle w:val="Hyperlink"/>
          </w:rPr>
          <w:t xml:space="preserve">https://doi.org/10.1145/775047.775151</w:t>
        </w:r>
      </w:hyperlink>
    </w:p>
    <w:bookmarkEnd w:id="130"/>
    <w:bookmarkStart w:id="132"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31">
        <w:r>
          <w:rPr>
            <w:rStyle w:val="Hyperlink"/>
          </w:rPr>
          <w:t xml:space="preserve">https://doi.org/10.1111/jfr3.12715</w:t>
        </w:r>
      </w:hyperlink>
    </w:p>
    <w:bookmarkEnd w:id="132"/>
    <w:bookmarkEnd w:id="133"/>
    <w:bookmarkEnd w:id="134"/>
    <w:bookmarkStart w:id="142" w:name="tables"/>
    <w:p>
      <w:pPr>
        <w:pStyle w:val="Heading1"/>
      </w:pPr>
      <w:r>
        <w:t xml:space="preserve">Tables</w:t>
      </w:r>
    </w:p>
    <w:bookmarkStart w:id="135"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35"/>
    <w:bookmarkStart w:id="136" w:name="tab:regions"/>
    <w:p>
      <w:pPr>
        <w:pStyle w:val="TableCaption"/>
      </w:pPr>
      <w:r>
        <w:t xml:space="preserve">Table 2. Configured study regions.</w:t>
      </w:r>
      <w:r>
        <w:t xml:space="preserve"> </w:t>
      </w:r>
      <m:oMath>
        <m:sSup>
          <m:e>
            <m:r>
              <m:t>​</m:t>
            </m:r>
          </m:e>
          <m:sup>
            <m:r>
              <m:t>a</m:t>
            </m:r>
          </m:sup>
        </m:sSup>
      </m:oMath>
      <w:r>
        <w:t xml:space="preserve">Validation region, defined by its four districts within the box and without the assets the Rangpur and Rajshahi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four districts within the box and without the assets the Rangpur and Rajshahi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bl>
    <w:bookmarkEnd w:id="136"/>
    <w:bookmarkStart w:id="137"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37"/>
    <w:bookmarkStart w:id="138"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bl>
    <w:bookmarkEnd w:id="138"/>
    <w:bookmarkStart w:id="139"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39"/>
    <w:bookmarkStart w:id="140"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1.2 % of assets in the four regions, and east of the Jamuna only 15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2 % of assets in the four regions, and east of the Jamuna only 15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0.810</w:t>
            </w:r>
            <w:r>
              <w:t xml:space="preserve"> </w:t>
            </w:r>
            <m:oMath>
              <m:r>
                <m:rPr>
                  <m:sty m:val="p"/>
                </m:rPr>
                <m:t>±</m:t>
              </m:r>
            </m:oMath>
            <w:r>
              <w:t xml:space="preserve"> </w:t>
            </w:r>
            <w:r>
              <w:t xml:space="preserve">0.177</w:t>
            </w:r>
          </w:p>
        </w:tc>
        <w:tc>
          <w:tcPr/>
          <w:p>
            <w:pPr>
              <w:pStyle w:val="Compact"/>
              <w:jc w:val="center"/>
            </w:pPr>
            <w:r>
              <w:t xml:space="preserve">0.813</w:t>
            </w:r>
          </w:p>
        </w:tc>
        <w:tc>
          <w:tcPr/>
          <w:p>
            <w:pPr>
              <w:pStyle w:val="Compact"/>
              <w:jc w:val="center"/>
            </w:pPr>
            <w:r>
              <w:t xml:space="preserve">0.940</w:t>
            </w:r>
            <w:r>
              <w:t xml:space="preserve"> </w:t>
            </w:r>
            <m:oMath>
              <m:r>
                <m:rPr>
                  <m:sty m:val="p"/>
                </m:rPr>
                <m:t>±</m:t>
              </m:r>
            </m:oMath>
            <w:r>
              <w:t xml:space="preserve"> </w:t>
            </w:r>
            <w:r>
              <w:t xml:space="preserve">0.054</w:t>
            </w:r>
          </w:p>
        </w:tc>
        <w:tc>
          <w:tcPr/>
          <w:p>
            <w:pPr>
              <w:pStyle w:val="Compact"/>
              <w:jc w:val="center"/>
            </w:pPr>
            <w:r>
              <w:t xml:space="preserve">0.681</w:t>
            </w:r>
            <w:r>
              <w:t xml:space="preserve"> </w:t>
            </w:r>
            <m:oMath>
              <m:r>
                <m:rPr>
                  <m:sty m:val="p"/>
                </m:rPr>
                <m:t>±</m:t>
              </m:r>
            </m:oMath>
            <w:r>
              <w:t xml:space="preserve"> </w:t>
            </w:r>
            <w:r>
              <w:t xml:space="preserve">0.241</w:t>
            </w:r>
          </w:p>
        </w:tc>
      </w:tr>
    </w:tbl>
    <w:bookmarkEnd w:id="140"/>
    <w:bookmarkStart w:id="141"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m:oMath>
              <m:r>
                <m:rPr>
                  <m:sty m:val="p"/>
                </m:rPr>
                <m:t>−</m:t>
              </m:r>
            </m:oMath>
            <w:r>
              <w:t xml:space="preserve">0.028</w:t>
            </w:r>
          </w:p>
        </w:tc>
        <w:tc>
          <w:tcPr/>
          <w:p>
            <w:pPr>
              <w:pStyle w:val="Compact"/>
              <w:jc w:val="center"/>
            </w:pPr>
            <m:oMath>
              <m:r>
                <m:rPr>
                  <m:sty m:val="p"/>
                </m:rPr>
                <m:t>−</m:t>
              </m:r>
            </m:oMath>
            <w:r>
              <w:t xml:space="preserve">0.003</w:t>
            </w:r>
          </w:p>
        </w:tc>
        <w:tc>
          <w:tcPr/>
          <w:p>
            <w:pPr>
              <w:pStyle w:val="Compact"/>
              <w:jc w:val="center"/>
            </w:pPr>
            <m:oMath>
              <m:r>
                <m:rPr>
                  <m:sty m:val="p"/>
                </m:rPr>
                <m:t>−</m:t>
              </m:r>
            </m:oMath>
            <w:r>
              <w:t xml:space="preserve">0.022</w:t>
            </w:r>
          </w:p>
        </w:tc>
      </w:tr>
    </w:tbl>
    <w:bookmarkEnd w:id="141"/>
    <w:bookmarkEnd w:id="142"/>
    <w:bookmarkStart w:id="143"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validation region east of the Jamuna (e,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43"/>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hyperlink" Target="https://arxiv.org/abs/1706.02216" TargetMode="External"/><Relationship Id="rId109" Type="http://schemas.openxmlformats.org/officeDocument/2006/relationships/hyperlink" Target="https://doi.org/10.1007/s00477-020-01862-5" TargetMode="External"/><Relationship Id="rId57" Type="http://schemas.openxmlformats.org/officeDocument/2006/relationships/hyperlink" Target="https://doi.org/10.1007/s44288-026-00759-0" TargetMode="External"/><Relationship Id="rId83" Type="http://schemas.openxmlformats.org/officeDocument/2006/relationships/hyperlink" Target="https://doi.org/10.1016/j.catena.2025.109029" TargetMode="External"/><Relationship Id="rId121" Type="http://schemas.openxmlformats.org/officeDocument/2006/relationships/hyperlink" Target="https://doi.org/10.1016/j.ecolmodel.2021.109692" TargetMode="External"/><Relationship Id="rId77" Type="http://schemas.openxmlformats.org/officeDocument/2006/relationships/hyperlink" Target="https://doi.org/10.1016/j.envc.2023.100833" TargetMode="External"/><Relationship Id="rId63" Type="http://schemas.openxmlformats.org/officeDocument/2006/relationships/hyperlink" Target="https://doi.org/10.1016/j.geomorph.2006.04.007" TargetMode="External"/><Relationship Id="rId75" Type="http://schemas.openxmlformats.org/officeDocument/2006/relationships/hyperlink" Target="https://doi.org/10.1016/j.gsf.2020.09.006" TargetMode="External"/><Relationship Id="rId99"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89" Type="http://schemas.openxmlformats.org/officeDocument/2006/relationships/hyperlink" Target="https://doi.org/10.1016/j.jhydrol.2011.03.051" TargetMode="External"/><Relationship Id="rId85"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81" Type="http://schemas.openxmlformats.org/officeDocument/2006/relationships/hyperlink" Target="https://doi.org/10.1029/2025WR041360" TargetMode="External"/><Relationship Id="rId91" Type="http://schemas.openxmlformats.org/officeDocument/2006/relationships/hyperlink" Target="https://doi.org/10.1038/nature20584" TargetMode="External"/><Relationship Id="rId79" Type="http://schemas.openxmlformats.org/officeDocument/2006/relationships/hyperlink" Target="https://doi.org/10.1038/s41467-019-10442-3" TargetMode="External"/><Relationship Id="rId93" Type="http://schemas.openxmlformats.org/officeDocument/2006/relationships/hyperlink" Target="https://doi.org/10.1038/s41467-020-18321-y" TargetMode="External"/><Relationship Id="rId73" Type="http://schemas.openxmlformats.org/officeDocument/2006/relationships/hyperlink" Target="https://doi.org/10.1038/s41467-023-39698-6" TargetMode="External"/><Relationship Id="rId111" Type="http://schemas.openxmlformats.org/officeDocument/2006/relationships/hyperlink" Target="https://doi.org/10.1038/s41586-021-03695-w" TargetMode="External"/><Relationship Id="rId115"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5" Type="http://schemas.openxmlformats.org/officeDocument/2006/relationships/hyperlink" Target="https://doi.org/10.1080/10106049.2023.2275692" TargetMode="External"/><Relationship Id="rId69" Type="http://schemas.openxmlformats.org/officeDocument/2006/relationships/hyperlink" Target="https://doi.org/10.1088/1748-9326/abc216" TargetMode="External"/><Relationship Id="rId71" Type="http://schemas.openxmlformats.org/officeDocument/2006/relationships/hyperlink" Target="https://doi.org/10.1088/1748-9326/ac4d4f" TargetMode="External"/><Relationship Id="rId61" Type="http://schemas.openxmlformats.org/officeDocument/2006/relationships/hyperlink" Target="https://doi.org/10.1109/CVPRW59228.2023.00209" TargetMode="External"/><Relationship Id="rId113" Type="http://schemas.openxmlformats.org/officeDocument/2006/relationships/hyperlink" Target="https://doi.org/10.1109/JSTARS.2023.3244098" TargetMode="External"/><Relationship Id="rId97" Type="http://schemas.openxmlformats.org/officeDocument/2006/relationships/hyperlink" Target="https://doi.org/10.1111/ecog.02881" TargetMode="External"/><Relationship Id="rId131" Type="http://schemas.openxmlformats.org/officeDocument/2006/relationships/hyperlink" Target="https://doi.org/10.1111/jfr3.12715" TargetMode="External"/><Relationship Id="rId105" Type="http://schemas.openxmlformats.org/officeDocument/2006/relationships/hyperlink" Target="https://doi.org/10.1111/jfr3.12770" TargetMode="External"/><Relationship Id="rId101" Type="http://schemas.openxmlformats.org/officeDocument/2006/relationships/hyperlink" Target="https://doi.org/10.1111/jfr3.12913" TargetMode="External"/><Relationship Id="rId127" Type="http://schemas.openxmlformats.org/officeDocument/2006/relationships/hyperlink" Target="https://doi.org/10.1111/jfr3.70045" TargetMode="External"/><Relationship Id="rId95"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7" Type="http://schemas.openxmlformats.org/officeDocument/2006/relationships/hyperlink" Target="https://doi.org/10.1145/1102351.1102430" TargetMode="External"/><Relationship Id="rId129" Type="http://schemas.openxmlformats.org/officeDocument/2006/relationships/hyperlink" Target="https://doi.org/10.1145/775047.775151" TargetMode="External"/><Relationship Id="rId107" Type="http://schemas.openxmlformats.org/officeDocument/2006/relationships/hyperlink" Target="https://doi.org/10.2166/wcc.2026.264" TargetMode="External"/><Relationship Id="rId59" Type="http://schemas.openxmlformats.org/officeDocument/2006/relationships/hyperlink" Target="https://doi.org/10.2760/094023" TargetMode="External"/><Relationship Id="rId123" Type="http://schemas.openxmlformats.org/officeDocument/2006/relationships/hyperlink" Target="https://doi.org/10.3389/feart.2023.1132722" TargetMode="External"/><Relationship Id="rId117"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3"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5" Type="http://schemas.openxmlformats.org/officeDocument/2006/relationships/hyperlink" Target="https://doi.org/10.5194/isprs-archives-XLIII-B3-2022-1097-2022" TargetMode="External"/><Relationship Id="rId40" Type="http://schemas.openxmlformats.org/officeDocument/2006/relationships/hyperlink" Target="https://doi.org/10.5281/zenodo.2313073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19"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arxiv.org/abs/1706.02216" TargetMode="External"/><Relationship Id="rId109" Type="http://schemas.openxmlformats.org/officeDocument/2006/relationships/hyperlink" Target="https://doi.org/10.1007/s00477-020-01862-5" TargetMode="External"/><Relationship Id="rId57" Type="http://schemas.openxmlformats.org/officeDocument/2006/relationships/hyperlink" Target="https://doi.org/10.1007/s44288-026-00759-0" TargetMode="External"/><Relationship Id="rId83" Type="http://schemas.openxmlformats.org/officeDocument/2006/relationships/hyperlink" Target="https://doi.org/10.1016/j.catena.2025.109029" TargetMode="External"/><Relationship Id="rId121" Type="http://schemas.openxmlformats.org/officeDocument/2006/relationships/hyperlink" Target="https://doi.org/10.1016/j.ecolmodel.2021.109692" TargetMode="External"/><Relationship Id="rId77" Type="http://schemas.openxmlformats.org/officeDocument/2006/relationships/hyperlink" Target="https://doi.org/10.1016/j.envc.2023.100833" TargetMode="External"/><Relationship Id="rId63" Type="http://schemas.openxmlformats.org/officeDocument/2006/relationships/hyperlink" Target="https://doi.org/10.1016/j.geomorph.2006.04.007" TargetMode="External"/><Relationship Id="rId75" Type="http://schemas.openxmlformats.org/officeDocument/2006/relationships/hyperlink" Target="https://doi.org/10.1016/j.gsf.2020.09.006" TargetMode="External"/><Relationship Id="rId99"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89" Type="http://schemas.openxmlformats.org/officeDocument/2006/relationships/hyperlink" Target="https://doi.org/10.1016/j.jhydrol.2011.03.051" TargetMode="External"/><Relationship Id="rId85"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81" Type="http://schemas.openxmlformats.org/officeDocument/2006/relationships/hyperlink" Target="https://doi.org/10.1029/2025WR041360" TargetMode="External"/><Relationship Id="rId91" Type="http://schemas.openxmlformats.org/officeDocument/2006/relationships/hyperlink" Target="https://doi.org/10.1038/nature20584" TargetMode="External"/><Relationship Id="rId79" Type="http://schemas.openxmlformats.org/officeDocument/2006/relationships/hyperlink" Target="https://doi.org/10.1038/s41467-019-10442-3" TargetMode="External"/><Relationship Id="rId93" Type="http://schemas.openxmlformats.org/officeDocument/2006/relationships/hyperlink" Target="https://doi.org/10.1038/s41467-020-18321-y" TargetMode="External"/><Relationship Id="rId73" Type="http://schemas.openxmlformats.org/officeDocument/2006/relationships/hyperlink" Target="https://doi.org/10.1038/s41467-023-39698-6" TargetMode="External"/><Relationship Id="rId111" Type="http://schemas.openxmlformats.org/officeDocument/2006/relationships/hyperlink" Target="https://doi.org/10.1038/s41586-021-03695-w" TargetMode="External"/><Relationship Id="rId115"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5" Type="http://schemas.openxmlformats.org/officeDocument/2006/relationships/hyperlink" Target="https://doi.org/10.1080/10106049.2023.2275692" TargetMode="External"/><Relationship Id="rId69" Type="http://schemas.openxmlformats.org/officeDocument/2006/relationships/hyperlink" Target="https://doi.org/10.1088/1748-9326/abc216" TargetMode="External"/><Relationship Id="rId71" Type="http://schemas.openxmlformats.org/officeDocument/2006/relationships/hyperlink" Target="https://doi.org/10.1088/1748-9326/ac4d4f" TargetMode="External"/><Relationship Id="rId61" Type="http://schemas.openxmlformats.org/officeDocument/2006/relationships/hyperlink" Target="https://doi.org/10.1109/CVPRW59228.2023.00209" TargetMode="External"/><Relationship Id="rId113" Type="http://schemas.openxmlformats.org/officeDocument/2006/relationships/hyperlink" Target="https://doi.org/10.1109/JSTARS.2023.3244098" TargetMode="External"/><Relationship Id="rId97" Type="http://schemas.openxmlformats.org/officeDocument/2006/relationships/hyperlink" Target="https://doi.org/10.1111/ecog.02881" TargetMode="External"/><Relationship Id="rId131" Type="http://schemas.openxmlformats.org/officeDocument/2006/relationships/hyperlink" Target="https://doi.org/10.1111/jfr3.12715" TargetMode="External"/><Relationship Id="rId105" Type="http://schemas.openxmlformats.org/officeDocument/2006/relationships/hyperlink" Target="https://doi.org/10.1111/jfr3.12770" TargetMode="External"/><Relationship Id="rId101" Type="http://schemas.openxmlformats.org/officeDocument/2006/relationships/hyperlink" Target="https://doi.org/10.1111/jfr3.12913" TargetMode="External"/><Relationship Id="rId127" Type="http://schemas.openxmlformats.org/officeDocument/2006/relationships/hyperlink" Target="https://doi.org/10.1111/jfr3.70045" TargetMode="External"/><Relationship Id="rId95"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7" Type="http://schemas.openxmlformats.org/officeDocument/2006/relationships/hyperlink" Target="https://doi.org/10.1145/1102351.1102430" TargetMode="External"/><Relationship Id="rId129" Type="http://schemas.openxmlformats.org/officeDocument/2006/relationships/hyperlink" Target="https://doi.org/10.1145/775047.775151" TargetMode="External"/><Relationship Id="rId107" Type="http://schemas.openxmlformats.org/officeDocument/2006/relationships/hyperlink" Target="https://doi.org/10.2166/wcc.2026.264" TargetMode="External"/><Relationship Id="rId59" Type="http://schemas.openxmlformats.org/officeDocument/2006/relationships/hyperlink" Target="https://doi.org/10.2760/094023" TargetMode="External"/><Relationship Id="rId123" Type="http://schemas.openxmlformats.org/officeDocument/2006/relationships/hyperlink" Target="https://doi.org/10.3389/feart.2023.1132722" TargetMode="External"/><Relationship Id="rId117"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3"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5" Type="http://schemas.openxmlformats.org/officeDocument/2006/relationships/hyperlink" Target="https://doi.org/10.5194/isprs-archives-XLIII-B3-2022-1097-2022" TargetMode="External"/><Relationship Id="rId40" Type="http://schemas.openxmlformats.org/officeDocument/2006/relationships/hyperlink" Target="https://doi.org/10.5281/zenodo.2313073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19"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2026-10-09T16:02:33Z</dcterms:created>
  <dcterms:modified xsi:type="dcterms:W3CDTF">2026-10-09T16:02:33Z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