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Weather and river forecasts are routinely scored against persistence, yet those figures are rarely set against its equivalent, which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In Rangpur and Rajshahi a record built from a single earlier flood already ranked the 2024 floods above the model (0.812 against 0.768). In an independent validation region east of the Jamuna, without any asset the study regions hold, the record led again (0.940 against 0.810), although the October 2024 flood there reached only 51 mapped assets, so that lead is probable rather than established. On the coast, where the model ranked better overall, a list of the 2.5 % of assets earlier cyclones had reached still held 37 % of the assets Cyclone Remal flooded, against 9.5 % for an equally long list from the model.</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Scored as forecasts are scored against persistence, the model’s skill over the record, the share of the record’s ranking error it removes, was −0.905 in Rangpur and Rajshahi and 0.276 once the model was given the record as a feature, a measure any study with a radar flood history can report. A graph neural network linking neighbouring assets added nothing over ordinary tabular models, and elevation carried almost all of the terrain signal.</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https://doi.org/10.5281/zenodo.23267002. A Supporting Information file gives the full pipeline settings and a sensitivity analysis of the risk weights.</w:t>
      </w:r>
    </w:p>
    <w:p>
      <w:pPr>
        <w:pStyle w:val="BodyText"/>
      </w:pPr>
      <w:r>
        <w:t xml:space="preserve">The main text runs to just under 6,000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2026-10-20T18:46:11Z</dcterms:created>
  <dcterms:modified xsi:type="dcterms:W3CDTF">2026-10-20T18:46:11Z</dcterms:modified>
</cp:coreProperties>
</file>

<file path=docProps/custom.xml><?xml version="1.0" encoding="utf-8"?>
<Properties xmlns="http://schemas.openxmlformats.org/officeDocument/2006/custom-properties" xmlns:vt="http://schemas.openxmlformats.org/officeDocument/2006/docPropsVTypes"/>
</file>