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and led even when built from a single earlier flood. In an independent riverine region east of the Jamuna the record led again, on a flood too small for the lead to be certain.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graph neural network;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a graph neural network</w:t>
      </w:r>
      <w:r>
        <w:t xml:space="preserve"> </w:t>
      </w:r>
      <w:r>
        <w:t xml:space="preserve">(Ma et al., 2025; X. Wang et al., 2023)</w:t>
      </w:r>
      <w:r>
        <w:t xml:space="preserve"> </w:t>
      </w:r>
      <w:r>
        <w:t xml:space="preserve">is also set against ordinary tabular models on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A fourth region east of the Jamuna, the districts of Sherpur, Jamalpur, Mymensingh and Tangail (Fig. 1a, e), serves only to validate the comparison with the flood record (Table 4) and leaves out the assets the Rangpur and Rajshahi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5.7).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East of the Jamuna, where the October 2024 flood reached only 51 assets, the record again led, at 0.940 against 0.810 on held-out blocks, but with a handful of flooded assets in most test blocks the lead fell short of significance (</w:t>
      </w:r>
      <m:oMath>
        <m:r>
          <m:t>p</m:t>
        </m:r>
        <m:r>
          <m:rPr>
            <m:sty m:val="p"/>
          </m:rPr>
          <m:t>=</m:t>
        </m:r>
        <m:r>
          <m:t>0.090</m:t>
        </m:r>
      </m:oMath>
      <w:r>
        <w:t xml:space="preserve">) except with 40 km blocks (</w:t>
      </w:r>
      <m:oMath>
        <m:r>
          <m:t>p</m:t>
        </m:r>
        <m:r>
          <m:rPr>
            <m:sty m:val="p"/>
          </m:rPr>
          <m:t>=</m:t>
        </m:r>
        <m:r>
          <m:t>0.023</m:t>
        </m:r>
      </m:oMath>
      <w:r>
        <w:t xml:space="preserve">). Out of fold over the whole region it led at 0.925 against 0.825, with a block-bootstrap interval for the difference from</w:t>
      </w:r>
      <w:r>
        <w:t xml:space="preserve"> </w:t>
      </w:r>
      <m:oMath>
        <m:r>
          <m:rPr>
            <m:sty m:val="p"/>
          </m:rPr>
          <m:t>−</m:t>
        </m:r>
      </m:oMath>
      <w:r>
        <w:t xml:space="preserve">0.191 to 0.003, and its list of 7.1 % of assets held 88.2 % of the flooded assets against 21.6 %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Rebuilt from a single earlier flood, the record already ranked the 2024 flooding in Rangpur and Rajshahi above the model, at 0.812 against 0.768, whereas in Sylhet it needed both earlier floods and on the coast it trailed at every length (Supporting Information, Section S6, Table S2). As skill over the record, the share of its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and one small validation flood cannot establish that pattern, but they show that the comparison has to be made region by region rather than assumed.</w:t>
      </w:r>
    </w:p>
    <w:p>
      <w:pPr>
        <w:pStyle w:val="BodyText"/>
      </w:pPr>
      <w:r>
        <w:t xml:space="preserve">The record marks where water returns and the terrain ranks where it has not yet been seen, so a susceptibility map for a river basin with a radar flood history should at least report the record beside it, and where the record is informative the two can be combined. Floods returning to the same ground are expected on a floodplain, yet in Rangpur and Rajshahi a model scoring 0.817 on held-out blocks still ranked the next flood below that expectation, at a skill over the record of</w:t>
      </w:r>
      <w:r>
        <w:t xml:space="preserve"> </w:t>
      </w:r>
      <m:oMath>
        <m:r>
          <m:rPr>
            <m:sty m:val="p"/>
          </m:rPr>
          <m:t>−</m:t>
        </m:r>
      </m:oMath>
      <w:r>
        <w:t xml:space="preserve">0.905, and rose above it only when given the record as a feature (0.276).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It linked each asset to its nearest neighbours, whereas the graphs reported to help elsewhere linked catchments along the flow of water</w:t>
      </w:r>
      <w:r>
        <w:t xml:space="preserve"> </w:t>
      </w:r>
      <w:r>
        <w:t xml:space="preserve">(Liu et al., 2026; Sharma &amp; Sharma, 2026)</w:t>
      </w:r>
      <w:r>
        <w:t xml:space="preserve">, so the result bears only on proximity graphs of assets. Kriging fared no better, ranking observed flooding over the whole Sylhet grid at 0.544 against 0.822 for the terrain surface.</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and even there the record made the better short list of assets to protect first.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Disruption beyond a flooded asset, which asset-level exposure omits, needs network modelling such as that developed for Accra</w:t>
      </w:r>
      <w:r>
        <w:t xml:space="preserve"> </w:t>
      </w:r>
      <w:r>
        <w:t xml:space="preserve">(Schotten &amp; Bachmann, 2023)</w:t>
      </w:r>
      <w:r>
        <w:t xml:space="preserve">.</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https://doi.org/10.5281/zenodo.23267002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five regions, including the Hill Tracts,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8" w:name="references"/>
    <w:p>
      <w:pPr>
        <w:pStyle w:val="Heading1"/>
      </w:pPr>
      <w:r>
        <w:t xml:space="preserve">References</w:t>
      </w:r>
    </w:p>
    <w:bookmarkStart w:id="137"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7">
        <w:r>
          <w:rPr>
            <w:rStyle w:val="Hyperlink"/>
          </w:rPr>
          <w:t xml:space="preserve">https://doi.org/10.1007/s44288-026-00759-0</w:t>
        </w:r>
      </w:hyperlink>
    </w:p>
    <w:bookmarkEnd w:id="58"/>
    <w:bookmarkStart w:id="60"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9">
        <w:r>
          <w:rPr>
            <w:rStyle w:val="Hyperlink"/>
          </w:rPr>
          <w:t xml:space="preserve">https://doi.org/10.2760/094023</w:t>
        </w:r>
      </w:hyperlink>
    </w:p>
    <w:bookmarkEnd w:id="60"/>
    <w:bookmarkStart w:id="62"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61">
        <w:r>
          <w:rPr>
            <w:rStyle w:val="Hyperlink"/>
          </w:rPr>
          <w:t xml:space="preserve">https://doi.org/10.1109/CVPRW59228.2023.00209</w:t>
        </w:r>
      </w:hyperlink>
    </w:p>
    <w:bookmarkEnd w:id="62"/>
    <w:bookmarkStart w:id="64"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3">
        <w:r>
          <w:rPr>
            <w:rStyle w:val="Hyperlink"/>
          </w:rPr>
          <w:t xml:space="preserve">https://doi.org/10.1016/j.geomorph.2006.04.007</w:t>
        </w:r>
      </w:hyperlink>
    </w:p>
    <w:bookmarkEnd w:id="64"/>
    <w:bookmarkStart w:id="66"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5">
        <w:r>
          <w:rPr>
            <w:rStyle w:val="Hyperlink"/>
          </w:rPr>
          <w:t xml:space="preserve">https://doi.org/10.5194/isprs-archives-XLIII-B3-2022-1097-2022</w:t>
        </w:r>
      </w:hyperlink>
    </w:p>
    <w:bookmarkEnd w:id="66"/>
    <w:bookmarkStart w:id="6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7">
        <w:r>
          <w:rPr>
            <w:rStyle w:val="Hyperlink"/>
          </w:rPr>
          <w:t xml:space="preserve">https://arxiv.org/abs/1706.02216</w:t>
        </w:r>
      </w:hyperlink>
    </w:p>
    <w:bookmarkEnd w:id="68"/>
    <w:bookmarkStart w:id="70"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9">
        <w:r>
          <w:rPr>
            <w:rStyle w:val="Hyperlink"/>
          </w:rPr>
          <w:t xml:space="preserve">https://doi.org/10.1088/1748-9326/abc216</w:t>
        </w:r>
      </w:hyperlink>
    </w:p>
    <w:bookmarkEnd w:id="70"/>
    <w:bookmarkStart w:id="72"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71">
        <w:r>
          <w:rPr>
            <w:rStyle w:val="Hyperlink"/>
          </w:rPr>
          <w:t xml:space="preserve">https://doi.org/10.1088/1748-9326/ac4d4f</w:t>
        </w:r>
      </w:hyperlink>
    </w:p>
    <w:bookmarkEnd w:id="72"/>
    <w:bookmarkStart w:id="74"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3">
        <w:r>
          <w:rPr>
            <w:rStyle w:val="Hyperlink"/>
          </w:rPr>
          <w:t xml:space="preserve">https://doi.org/10.1038/s41467-023-39698-6</w:t>
        </w:r>
      </w:hyperlink>
    </w:p>
    <w:bookmarkEnd w:id="74"/>
    <w:bookmarkStart w:id="76"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5">
        <w:r>
          <w:rPr>
            <w:rStyle w:val="Hyperlink"/>
          </w:rPr>
          <w:t xml:space="preserve">https://doi.org/10.1016/j.gsf.2020.09.006</w:t>
        </w:r>
      </w:hyperlink>
    </w:p>
    <w:bookmarkEnd w:id="76"/>
    <w:bookmarkStart w:id="78"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7">
        <w:r>
          <w:rPr>
            <w:rStyle w:val="Hyperlink"/>
          </w:rPr>
          <w:t xml:space="preserve">https://doi.org/10.1016/j.envc.2023.100833</w:t>
        </w:r>
      </w:hyperlink>
    </w:p>
    <w:bookmarkEnd w:id="78"/>
    <w:bookmarkStart w:id="80"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9">
        <w:r>
          <w:rPr>
            <w:rStyle w:val="Hyperlink"/>
          </w:rPr>
          <w:t xml:space="preserve">https://doi.org/10.1038/s41467-019-10442-3</w:t>
        </w:r>
      </w:hyperlink>
    </w:p>
    <w:bookmarkEnd w:id="80"/>
    <w:bookmarkStart w:id="82"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81">
        <w:r>
          <w:rPr>
            <w:rStyle w:val="Hyperlink"/>
          </w:rPr>
          <w:t xml:space="preserve">https://doi.org/10.1029/2025WR041360</w:t>
        </w:r>
      </w:hyperlink>
    </w:p>
    <w:bookmarkEnd w:id="82"/>
    <w:bookmarkStart w:id="84"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3">
        <w:r>
          <w:rPr>
            <w:rStyle w:val="Hyperlink"/>
          </w:rPr>
          <w:t xml:space="preserve">https://doi.org/10.1016/j.catena.2025.109029</w:t>
        </w:r>
      </w:hyperlink>
    </w:p>
    <w:bookmarkEnd w:id="84"/>
    <w:bookmarkStart w:id="86"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85">
        <w:r>
          <w:rPr>
            <w:rStyle w:val="Hyperlink"/>
          </w:rPr>
          <w:t xml:space="preserve">https://doi.org/10.1175/1520-0493(1988)116&lt;2417:SSBOTM&gt;2.0.CO;2</w:t>
        </w:r>
      </w:hyperlink>
    </w:p>
    <w:bookmarkEnd w:id="86"/>
    <w:bookmarkStart w:id="88"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7">
        <w:r>
          <w:rPr>
            <w:rStyle w:val="Hyperlink"/>
          </w:rPr>
          <w:t xml:space="preserve">https://doi.org/10.1023/A:1024068626366</w:t>
        </w:r>
      </w:hyperlink>
    </w:p>
    <w:bookmarkEnd w:id="88"/>
    <w:bookmarkStart w:id="90"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9">
        <w:r>
          <w:rPr>
            <w:rStyle w:val="Hyperlink"/>
          </w:rPr>
          <w:t xml:space="preserve">https://doi.org/10.1145/1102351.1102430</w:t>
        </w:r>
      </w:hyperlink>
    </w:p>
    <w:bookmarkEnd w:id="90"/>
    <w:bookmarkStart w:id="92"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91">
        <w:r>
          <w:rPr>
            <w:rStyle w:val="Hyperlink"/>
          </w:rPr>
          <w:t xml:space="preserve">https://doi.org/10.1016/j.jhydrol.2011.03.051</w:t>
        </w:r>
      </w:hyperlink>
    </w:p>
    <w:bookmarkEnd w:id="92"/>
    <w:bookmarkStart w:id="94"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93">
        <w:r>
          <w:rPr>
            <w:rStyle w:val="Hyperlink"/>
          </w:rPr>
          <w:t xml:space="preserve">https://doi.org/10.1016/j.jhydrol.2015.01.024</w:t>
        </w:r>
      </w:hyperlink>
    </w:p>
    <w:bookmarkEnd w:id="94"/>
    <w:bookmarkStart w:id="96"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95">
        <w:r>
          <w:rPr>
            <w:rStyle w:val="Hyperlink"/>
          </w:rPr>
          <w:t xml:space="preserve">https://doi.org/10.1038/nature20584</w:t>
        </w:r>
      </w:hyperlink>
    </w:p>
    <w:bookmarkEnd w:id="96"/>
    <w:bookmarkStart w:id="98"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7">
        <w:r>
          <w:rPr>
            <w:rStyle w:val="Hyperlink"/>
          </w:rPr>
          <w:t xml:space="preserve">https://doi.org/10.1038/s41467-020-18321-y</w:t>
        </w:r>
      </w:hyperlink>
    </w:p>
    <w:bookmarkEnd w:id="98"/>
    <w:bookmarkStart w:id="100"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9">
        <w:r>
          <w:rPr>
            <w:rStyle w:val="Hyperlink"/>
          </w:rPr>
          <w:t xml:space="preserve">https://doi.org/10.1111/jfr3.70089</w:t>
        </w:r>
      </w:hyperlink>
    </w:p>
    <w:bookmarkEnd w:id="100"/>
    <w:bookmarkStart w:id="102"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1">
        <w:r>
          <w:rPr>
            <w:rStyle w:val="Hyperlink"/>
          </w:rPr>
          <w:t xml:space="preserve">https://doi.org/10.1111/ecog.02881</w:t>
        </w:r>
      </w:hyperlink>
    </w:p>
    <w:bookmarkEnd w:id="102"/>
    <w:bookmarkStart w:id="104"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103">
        <w:r>
          <w:rPr>
            <w:rStyle w:val="Hyperlink"/>
          </w:rPr>
          <w:t xml:space="preserve">https://doi.org/10.1016/j.heliyon.2023.e16459</w:t>
        </w:r>
      </w:hyperlink>
    </w:p>
    <w:bookmarkEnd w:id="104"/>
    <w:bookmarkStart w:id="106"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105">
        <w:r>
          <w:rPr>
            <w:rStyle w:val="Hyperlink"/>
          </w:rPr>
          <w:t xml:space="preserve">https://doi.org/10.1111/jfr3.12913</w:t>
        </w:r>
      </w:hyperlink>
    </w:p>
    <w:bookmarkEnd w:id="106"/>
    <w:bookmarkStart w:id="108"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7">
        <w:r>
          <w:rPr>
            <w:rStyle w:val="Hyperlink"/>
          </w:rPr>
          <w:t xml:space="preserve">https://doi.org/10.48550/arXiv.2603.15681</w:t>
        </w:r>
      </w:hyperlink>
    </w:p>
    <w:bookmarkEnd w:id="108"/>
    <w:bookmarkStart w:id="110"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9">
        <w:r>
          <w:rPr>
            <w:rStyle w:val="Hyperlink"/>
          </w:rPr>
          <w:t xml:space="preserve">https://doi.org/10.1111/jfr3.12770</w:t>
        </w:r>
      </w:hyperlink>
    </w:p>
    <w:bookmarkEnd w:id="110"/>
    <w:bookmarkStart w:id="112"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11">
        <w:r>
          <w:rPr>
            <w:rStyle w:val="Hyperlink"/>
          </w:rPr>
          <w:t xml:space="preserve">https://doi.org/10.2166/wcc.2026.264</w:t>
        </w:r>
      </w:hyperlink>
    </w:p>
    <w:bookmarkEnd w:id="112"/>
    <w:bookmarkStart w:id="114"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13">
        <w:r>
          <w:rPr>
            <w:rStyle w:val="Hyperlink"/>
          </w:rPr>
          <w:t xml:space="preserve">https://doi.org/10.1007/s00477-020-01862-5</w:t>
        </w:r>
      </w:hyperlink>
    </w:p>
    <w:bookmarkEnd w:id="114"/>
    <w:bookmarkStart w:id="116"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15">
        <w:r>
          <w:rPr>
            <w:rStyle w:val="Hyperlink"/>
          </w:rPr>
          <w:t xml:space="preserve">https://doi.org/10.1038/s41586-021-03695-w</w:t>
        </w:r>
      </w:hyperlink>
    </w:p>
    <w:bookmarkEnd w:id="116"/>
    <w:bookmarkStart w:id="118"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7">
        <w:r>
          <w:rPr>
            <w:rStyle w:val="Hyperlink"/>
          </w:rPr>
          <w:t xml:space="preserve">https://doi.org/10.1109/JSTARS.2023.3244098</w:t>
        </w:r>
      </w:hyperlink>
    </w:p>
    <w:bookmarkEnd w:id="118"/>
    <w:bookmarkStart w:id="120"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9">
        <w:r>
          <w:rPr>
            <w:rStyle w:val="Hyperlink"/>
          </w:rPr>
          <w:t xml:space="preserve">https://doi.org/10.1080/01431161.2016.1192304</w:t>
        </w:r>
      </w:hyperlink>
    </w:p>
    <w:bookmarkEnd w:id="120"/>
    <w:bookmarkStart w:id="122"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21">
        <w:r>
          <w:rPr>
            <w:rStyle w:val="Hyperlink"/>
          </w:rPr>
          <w:t xml:space="preserve">https://doi.org/10.3390/rs11131581</w:t>
        </w:r>
      </w:hyperlink>
    </w:p>
    <w:bookmarkEnd w:id="122"/>
    <w:bookmarkStart w:id="124"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23">
        <w:r>
          <w:rPr>
            <w:rStyle w:val="Hyperlink"/>
          </w:rPr>
          <w:t xml:space="preserve">https://un-spider.org/advisory-support/recommended-practices/recommended-practice-google-earth-engine-flood-mapping</w:t>
        </w:r>
      </w:hyperlink>
      <w:r>
        <w:t xml:space="preserve">.</w:t>
      </w:r>
    </w:p>
    <w:bookmarkEnd w:id="124"/>
    <w:bookmarkStart w:id="126"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25">
        <w:r>
          <w:rPr>
            <w:rStyle w:val="Hyperlink"/>
          </w:rPr>
          <w:t xml:space="preserve">https://doi.org/10.1016/j.ecolmodel.2021.109692</w:t>
        </w:r>
      </w:hyperlink>
    </w:p>
    <w:bookmarkEnd w:id="126"/>
    <w:bookmarkStart w:id="128"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7">
        <w:r>
          <w:rPr>
            <w:rStyle w:val="Hyperlink"/>
          </w:rPr>
          <w:t xml:space="preserve">https://doi.org/10.3389/feart.2023.1132722</w:t>
        </w:r>
      </w:hyperlink>
    </w:p>
    <w:bookmarkEnd w:id="128"/>
    <w:bookmarkStart w:id="130"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9">
        <w:r>
          <w:rPr>
            <w:rStyle w:val="Hyperlink"/>
          </w:rPr>
          <w:t xml:space="preserve">https://doi.org/10.1080/10106049.2023.2275692</w:t>
        </w:r>
      </w:hyperlink>
    </w:p>
    <w:bookmarkEnd w:id="130"/>
    <w:bookmarkStart w:id="132"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31">
        <w:r>
          <w:rPr>
            <w:rStyle w:val="Hyperlink"/>
          </w:rPr>
          <w:t xml:space="preserve">https://doi.org/10.1111/jfr3.70045</w:t>
        </w:r>
      </w:hyperlink>
    </w:p>
    <w:bookmarkEnd w:id="132"/>
    <w:bookmarkStart w:id="134"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33">
        <w:r>
          <w:rPr>
            <w:rStyle w:val="Hyperlink"/>
          </w:rPr>
          <w:t xml:space="preserve">https://doi.org/10.1145/775047.775151</w:t>
        </w:r>
      </w:hyperlink>
    </w:p>
    <w:bookmarkEnd w:id="134"/>
    <w:bookmarkStart w:id="136"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5">
        <w:r>
          <w:rPr>
            <w:rStyle w:val="Hyperlink"/>
          </w:rPr>
          <w:t xml:space="preserve">https://doi.org/10.1111/jfr3.12715</w:t>
        </w:r>
      </w:hyperlink>
    </w:p>
    <w:bookmarkEnd w:id="136"/>
    <w:bookmarkEnd w:id="137"/>
    <w:bookmarkEnd w:id="138"/>
    <w:bookmarkStart w:id="146" w:name="tables"/>
    <w:p>
      <w:pPr>
        <w:pStyle w:val="Heading1"/>
      </w:pPr>
      <w:r>
        <w:t xml:space="preserve">Tables</w:t>
      </w:r>
    </w:p>
    <w:bookmarkStart w:id="139"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9"/>
    <w:bookmarkStart w:id="140" w:name="tab:regions"/>
    <w:p>
      <w:pPr>
        <w:pStyle w:val="TableCaption"/>
      </w:pPr>
      <w:r>
        <w:t xml:space="preserve">Table 2. Configured study regions.</w:t>
      </w:r>
      <w:r>
        <w:t xml:space="preserve"> </w:t>
      </w:r>
      <m:oMath>
        <m:sSup>
          <m:e>
            <m:r>
              <m:t>​</m:t>
            </m:r>
          </m:e>
          <m:sup>
            <m:r>
              <m:t>a</m:t>
            </m:r>
          </m:sup>
        </m:sSup>
      </m:oMath>
      <w:r>
        <w:t xml:space="preserve">Validation region, defined by its four districts within the box and without the assets the Rangpur and Rajshahi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four districts within the box and without the assets the Rangpur and Rajshahi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bl>
    <w:bookmarkEnd w:id="140"/>
    <w:bookmarkStart w:id="141"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41"/>
    <w:bookmarkStart w:id="142"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bl>
    <w:bookmarkEnd w:id="142"/>
    <w:bookmarkStart w:id="143"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43"/>
    <w:bookmarkStart w:id="144"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1.2 % of assets in the four regions, and east of the Jamuna only 15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2 % of assets in the four regions, and east of the Jamuna only 15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0.810</w:t>
            </w:r>
            <w:r>
              <w:t xml:space="preserve"> </w:t>
            </w:r>
            <m:oMath>
              <m:r>
                <m:rPr>
                  <m:sty m:val="p"/>
                </m:rPr>
                <m:t>±</m:t>
              </m:r>
            </m:oMath>
            <w:r>
              <w:t xml:space="preserve"> </w:t>
            </w:r>
            <w:r>
              <w:t xml:space="preserve">0.177</w:t>
            </w:r>
          </w:p>
        </w:tc>
        <w:tc>
          <w:tcPr/>
          <w:p>
            <w:pPr>
              <w:pStyle w:val="Compact"/>
              <w:jc w:val="center"/>
            </w:pPr>
            <w:r>
              <w:t xml:space="preserve">0.813</w:t>
            </w:r>
          </w:p>
        </w:tc>
        <w:tc>
          <w:tcPr/>
          <w:p>
            <w:pPr>
              <w:pStyle w:val="Compact"/>
              <w:jc w:val="center"/>
            </w:pPr>
            <w:r>
              <w:t xml:space="preserve">0.940</w:t>
            </w:r>
            <w:r>
              <w:t xml:space="preserve"> </w:t>
            </w:r>
            <m:oMath>
              <m:r>
                <m:rPr>
                  <m:sty m:val="p"/>
                </m:rPr>
                <m:t>±</m:t>
              </m:r>
            </m:oMath>
            <w:r>
              <w:t xml:space="preserve"> </w:t>
            </w:r>
            <w:r>
              <w:t xml:space="preserve">0.054</w:t>
            </w:r>
          </w:p>
        </w:tc>
        <w:tc>
          <w:tcPr/>
          <w:p>
            <w:pPr>
              <w:pStyle w:val="Compact"/>
              <w:jc w:val="center"/>
            </w:pPr>
            <w:r>
              <w:t xml:space="preserve">0.681</w:t>
            </w:r>
            <w:r>
              <w:t xml:space="preserve"> </w:t>
            </w:r>
            <m:oMath>
              <m:r>
                <m:rPr>
                  <m:sty m:val="p"/>
                </m:rPr>
                <m:t>±</m:t>
              </m:r>
            </m:oMath>
            <w:r>
              <w:t xml:space="preserve"> </w:t>
            </w:r>
            <w:r>
              <w:t xml:space="preserve">0.241</w:t>
            </w:r>
          </w:p>
        </w:tc>
      </w:tr>
    </w:tbl>
    <w:bookmarkEnd w:id="144"/>
    <w:bookmarkStart w:id="145"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145"/>
    <w:bookmarkEnd w:id="146"/>
    <w:bookmarkStart w:id="147"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7"/>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hyperlink" Target="https://arxiv.org/abs/1706.02216" TargetMode="External"/><Relationship Id="rId113"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5"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103"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91" Type="http://schemas.openxmlformats.org/officeDocument/2006/relationships/hyperlink" Target="https://doi.org/10.1016/j.jhydrol.2011.03.051" TargetMode="External"/><Relationship Id="rId93" Type="http://schemas.openxmlformats.org/officeDocument/2006/relationships/hyperlink" Target="https://doi.org/10.1016/j.jhydrol.2015.01.024" TargetMode="External"/><Relationship Id="rId87"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5"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7"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5" Type="http://schemas.openxmlformats.org/officeDocument/2006/relationships/hyperlink" Target="https://doi.org/10.1038/s41586-021-03695-w" TargetMode="External"/><Relationship Id="rId119"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9"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7" Type="http://schemas.openxmlformats.org/officeDocument/2006/relationships/hyperlink" Target="https://doi.org/10.1109/JSTARS.2023.3244098" TargetMode="External"/><Relationship Id="rId101" Type="http://schemas.openxmlformats.org/officeDocument/2006/relationships/hyperlink" Target="https://doi.org/10.1111/ecog.02881" TargetMode="External"/><Relationship Id="rId135" Type="http://schemas.openxmlformats.org/officeDocument/2006/relationships/hyperlink" Target="https://doi.org/10.1111/jfr3.12715" TargetMode="External"/><Relationship Id="rId109" Type="http://schemas.openxmlformats.org/officeDocument/2006/relationships/hyperlink" Target="https://doi.org/10.1111/jfr3.12770" TargetMode="External"/><Relationship Id="rId105" Type="http://schemas.openxmlformats.org/officeDocument/2006/relationships/hyperlink" Target="https://doi.org/10.1111/jfr3.12913" TargetMode="External"/><Relationship Id="rId131" Type="http://schemas.openxmlformats.org/officeDocument/2006/relationships/hyperlink" Target="https://doi.org/10.1111/jfr3.70045" TargetMode="External"/><Relationship Id="rId99"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9" Type="http://schemas.openxmlformats.org/officeDocument/2006/relationships/hyperlink" Target="https://doi.org/10.1145/1102351.1102430" TargetMode="External"/><Relationship Id="rId133" Type="http://schemas.openxmlformats.org/officeDocument/2006/relationships/hyperlink" Target="https://doi.org/10.1145/775047.775151" TargetMode="External"/><Relationship Id="rId85" Type="http://schemas.openxmlformats.org/officeDocument/2006/relationships/hyperlink" Target="https://doi.org/10.1175/1520-0493(1988)116&lt;2417:SSBOTM&gt;2.0.CO;2" TargetMode="External"/><Relationship Id="rId111"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7" Type="http://schemas.openxmlformats.org/officeDocument/2006/relationships/hyperlink" Target="https://doi.org/10.3389/feart.2023.1132722" TargetMode="External"/><Relationship Id="rId121"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7"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26700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23"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706.02216" TargetMode="External"/><Relationship Id="rId113"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5"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103"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91" Type="http://schemas.openxmlformats.org/officeDocument/2006/relationships/hyperlink" Target="https://doi.org/10.1016/j.jhydrol.2011.03.051" TargetMode="External"/><Relationship Id="rId93" Type="http://schemas.openxmlformats.org/officeDocument/2006/relationships/hyperlink" Target="https://doi.org/10.1016/j.jhydrol.2015.01.024" TargetMode="External"/><Relationship Id="rId87"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5"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7"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5" Type="http://schemas.openxmlformats.org/officeDocument/2006/relationships/hyperlink" Target="https://doi.org/10.1038/s41586-021-03695-w" TargetMode="External"/><Relationship Id="rId119"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9"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7" Type="http://schemas.openxmlformats.org/officeDocument/2006/relationships/hyperlink" Target="https://doi.org/10.1109/JSTARS.2023.3244098" TargetMode="External"/><Relationship Id="rId101" Type="http://schemas.openxmlformats.org/officeDocument/2006/relationships/hyperlink" Target="https://doi.org/10.1111/ecog.02881" TargetMode="External"/><Relationship Id="rId135" Type="http://schemas.openxmlformats.org/officeDocument/2006/relationships/hyperlink" Target="https://doi.org/10.1111/jfr3.12715" TargetMode="External"/><Relationship Id="rId109" Type="http://schemas.openxmlformats.org/officeDocument/2006/relationships/hyperlink" Target="https://doi.org/10.1111/jfr3.12770" TargetMode="External"/><Relationship Id="rId105" Type="http://schemas.openxmlformats.org/officeDocument/2006/relationships/hyperlink" Target="https://doi.org/10.1111/jfr3.12913" TargetMode="External"/><Relationship Id="rId131" Type="http://schemas.openxmlformats.org/officeDocument/2006/relationships/hyperlink" Target="https://doi.org/10.1111/jfr3.70045" TargetMode="External"/><Relationship Id="rId99"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9" Type="http://schemas.openxmlformats.org/officeDocument/2006/relationships/hyperlink" Target="https://doi.org/10.1145/1102351.1102430" TargetMode="External"/><Relationship Id="rId133" Type="http://schemas.openxmlformats.org/officeDocument/2006/relationships/hyperlink" Target="https://doi.org/10.1145/775047.775151" TargetMode="External"/><Relationship Id="rId85" Type="http://schemas.openxmlformats.org/officeDocument/2006/relationships/hyperlink" Target="https://doi.org/10.1175/1520-0493(1988)116&lt;2417:SSBOTM&gt;2.0.CO;2" TargetMode="External"/><Relationship Id="rId111"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7" Type="http://schemas.openxmlformats.org/officeDocument/2006/relationships/hyperlink" Target="https://doi.org/10.3389/feart.2023.1132722" TargetMode="External"/><Relationship Id="rId121"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7"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26700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23"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2026-10-20T18:46:11Z</dcterms:created>
  <dcterms:modified xsi:type="dcterms:W3CDTF">2026-10-20T18:46:11Z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