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23 October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Weather and river forecasts are routinely scored against persistence, yet those figures are rarely set against its equivalent, which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Predicting each flood year from the years before it, in the three study regions and four validation regions that share no asset with them, gives 15 tests. The record’s lead over a gradient-boosted terrain model fell as the share of a flood reaching ground no earlier flood had reached rose (Spearman ρ = −0.775, p &lt; 0.001), whatever the length of the record, and the two were level at about 33 % of flooded assets on such new ground (95 % interval 18–41 %). The comparison therefore has an answer that depends on the flood regime rather than a single verdict.</w:t>
      </w:r>
    </w:p>
    <w:p>
      <w:pPr>
        <w:pStyle w:val="Compact"/>
        <w:numPr>
          <w:ilvl w:val="0"/>
          <w:numId w:val="1001"/>
        </w:numPr>
      </w:pPr>
      <w:r>
        <w:t xml:space="preserve">In Rangpur and Rajshahi, where few of the 2024 floods’ assets stood on new ground, the record ranked the flooding at 0.896 against 0.801 for the model and kept its lead under every check the manuscript applies, including masks re-mapped from a single satellite and wider validation blocks. On the cyclone-affected coast, where most flooding reached new ground, the model led. Given the record as a feature, the model beat both of its parts in 5 of 8 tests, all riverine.</w:t>
      </w:r>
    </w:p>
    <w:p>
      <w:pPr>
        <w:pStyle w:val="Compact"/>
        <w:numPr>
          <w:ilvl w:val="0"/>
          <w:numId w:val="1001"/>
        </w:numPr>
      </w:pPr>
      <w:r>
        <w:t xml:space="preserve">A global hydrodynamic hazard map (JRC, LISFLOOD-FP) was no stronger a rival than the model, trailing the record significantly in 5 of 15 tests and leading it in 4, all on floods that reached much new ground. The comparison thus bears on hazard maps generally, as it has long done in earthquake forecasting, where maps of past seismicity remain the reference that forecasts must beat.</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the choice between that record and a model follow how much of past floods fell on new ground, and that maps used to site shelters, embankments or schools be judged on held-out areas and later floods.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https://doi.org/10.5281/zenodo.23573843. A Supporting Information file gives the full pipeline settings and a sensitivity analysis of the risk weights.</w:t>
      </w:r>
    </w:p>
    <w:p>
      <w:pPr>
        <w:pStyle w:val="BodyText"/>
      </w:pPr>
      <w:r>
        <w:t xml:space="preserve">The main text runs to just under 6,000 words, excluding references, figures and tables, with 6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2026-10-22T20:08:54Z</dcterms:created>
  <dcterms:modified xsi:type="dcterms:W3CDTF">2026-10-22T20:08:54Z</dcterms:modified>
</cp:coreProperties>
</file>

<file path=docProps/custom.xml><?xml version="1.0" encoding="utf-8"?>
<Properties xmlns="http://schemas.openxmlformats.org/officeDocument/2006/custom-properties" xmlns:vt="http://schemas.openxmlformats.org/officeDocument/2006/docPropsVTypes"/>
</file>