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they are rarely compared with the simplest alternative, the record of where floods have already been. This study makes that comparison for infrastructure mapped in OpenStreetMap in three regions of Bangladesh, using flood extents mapped from Sentinel-1 radar for thirteen events as labels and reference, and scoring every model on 10 km blocks held out from training over 20 block assignments. Trained on floods up to 2022, a gradient-boosted model ranked the ground the 2024 floods reached at an AUC of 0.801 in Rangpur and Rajshahi and 0.797 in Sylhet, below the record of earlier flooding at 0.896 and 0.851. Given that record as a feature, the model beat both in Rangpur and Rajshahi, at 0.924, because terrain still ranks the ground no earlier flood reached, while in Sylhet it matched the record at 0.849. On the south-west coast, where most assets flooded by the 2024 cyclone stood on ground that had not flooded before, the model beat the record, at 0.807 against 0.668. Training on radar-observed extents rather than terrain-threshold labels raised the AUC by 0.101, 0.087 and 0.080 on held-out areas and by 0.069, 0.024 and 0.071 on the 2024 floods, the Sylhet gain within noise. A graph neural network linking neighbouring assets added nothing over tabular models, and elevation carried almost all of the terrain signal. The radar masks agreed only moderately with an independent MODIS flood map, so the scores measure agreement with flooding as radar sees it. Susceptibility studies with a radar flood history should report that record as a baseline.</w:t>
      </w:r>
    </w:p>
    <w:p>
      <w:pPr>
        <w:pStyle w:val="BodyText"/>
      </w:pPr>
      <w:r>
        <w:rPr>
          <w:b/>
          <w:bCs/>
        </w:rPr>
        <w:t xml:space="preserve">Keywords:</w:t>
      </w:r>
      <w:r>
        <w:t xml:space="preserve"> </w:t>
      </w:r>
      <w:r>
        <w:t xml:space="preserve">flood susceptibility; Sentinel-1; spatial cross-validation; temporal validation; gradient boosting; graph neural network;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a baseline that susceptibility studies rarely report, which is the map of where water has already been. Graph neural networks, which pass information between neighbouring locations, have meanwhile entered hazard mapping</w:t>
      </w:r>
      <w:r>
        <w:t xml:space="preserve"> </w:t>
      </w:r>
      <w:r>
        <w:t xml:space="preserve">(Ma et al., 2025; Wang et al., 2023)</w:t>
      </w:r>
      <w:r>
        <w:t xml:space="preserve"> </w:t>
      </w:r>
      <w:r>
        <w:t xml:space="preserve">on the appeal that a road or embankment floods together with its neighbours, although whether that structure adds anything over an ordinary tabular model has seldom been tested on identical data.</w:t>
      </w:r>
    </w:p>
    <w:p>
      <w:pPr>
        <w:pStyle w:val="BodyText"/>
      </w:pPr>
      <w:r>
        <w:t xml:space="preserve">This study asks three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radar-observed flood extents make better training labels than terrain thresholds for ground a model has not seen. The second is whether a model anticipates a later flood better than the record of earlier ones, and the third is whether a graph neural network outperforms ordinary tabular models given the same features and blocks. The flood hazard is then combined with exposure and vulnerability on a 500 m grid, and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and none holds out whole areas.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Multi-criteria hazard maps built from similar terrain factors, including TWI and HAND, reached validation scores of 0.77–0.79 in the Sangu basin and placed 39 % of roads and 25 % of education buildings in the highest hazard class</w:t>
      </w:r>
      <w:r>
        <w:t xml:space="preserve"> </w:t>
      </w:r>
      <w:r>
        <w:t xml:space="preserve">(Zzaman et al., 2021)</w:t>
      </w:r>
      <w:r>
        <w:t xml:space="preserve">, which shows why the exposure of infrastructure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and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The effect can be large, since a forest-biomass model that explained more than half the variance under random validation showed almost no skill under spatial validation</w:t>
      </w:r>
      <w:r>
        <w:t xml:space="preserve"> </w:t>
      </w:r>
      <w:r>
        <w:t xml:space="preserve">(Ploton et al., 2020)</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none of the Bangladesh studies read in full reports calibrated probabilities.</w:t>
      </w:r>
    </w:p>
    <w:bookmarkEnd w:id="13"/>
    <w:bookmarkStart w:id="14" w:name="graphs-interpolation-and-composite-risk"/>
    <w:p>
      <w:pPr>
        <w:pStyle w:val="Heading2"/>
      </w:pPr>
      <w:r>
        <w:rPr>
          <w:rStyle w:val="SectionNumber"/>
        </w:rPr>
        <w:t xml:space="preserve">2.3</w:t>
      </w:r>
      <w:r>
        <w:tab/>
      </w:r>
      <w:r>
        <w:t xml:space="preserve">Graphs, interpolation and composite risk</w:t>
      </w:r>
    </w:p>
    <w:p>
      <w:pPr>
        <w:pStyle w:val="FirstParagraph"/>
      </w:pPr>
      <w:r>
        <w:t xml:space="preserve">Comparisons of many learning models are common in susceptibility mapping, and among 14 models for flood-prone areas of Pakistan boosted trees ranked first</w:t>
      </w:r>
      <w:r>
        <w:t xml:space="preserve"> </w:t>
      </w:r>
      <w:r>
        <w:t xml:space="preserve">(Waleed &amp; Sajjad, 2025)</w:t>
      </w:r>
      <w:r>
        <w:t xml:space="preserve">. Graph neural networks learn from a node’s neighbours and, in the inductive form used here, generalise to nodes unseen in training</w:t>
      </w:r>
      <w:r>
        <w:t xml:space="preserve"> </w:t>
      </w:r>
      <w:r>
        <w:t xml:space="preserve">(Hamilton et al., 2017)</w:t>
      </w:r>
      <w:r>
        <w:t xml:space="preserve">. In hazard mapping they have appeared mainly for landslides</w:t>
      </w:r>
      <w:r>
        <w:t xml:space="preserve"> </w:t>
      </w:r>
      <w:r>
        <w:t xml:space="preserve">(Ma et al., 2025; Wang et al., 2023)</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Composite indices such as INFORM combine hazard, exposure and vulnerability by geometric mean</w:t>
      </w:r>
      <w:r>
        <w:t xml:space="preserve"> </w:t>
      </w:r>
      <w:r>
        <w:t xml:space="preserve">(European Commission Joint Research Centre, 2017)</w:t>
      </w:r>
      <w:r>
        <w:t xml:space="preserve">, and the same aggregation is used here, with exposure counted asset by asset as</w:t>
      </w:r>
      <w:r>
        <w:t xml:space="preserve"> </w:t>
      </w:r>
      <w:r>
        <w:t xml:space="preserve">Koks et al. (2019)</w:t>
      </w:r>
      <w:r>
        <w:t xml:space="preserve"> </w:t>
      </w:r>
      <w:r>
        <w:t xml:space="preserve">did globally. That exposure depends on OpenStreetMap, whose building completeness exceeds 80 % in some cities but falls below 20 % in cities holding 48 % of the world’s urban population</w:t>
      </w:r>
      <w:r>
        <w:t xml:space="preserve"> </w:t>
      </w:r>
      <w:r>
        <w:t xml:space="preserve">(Herfort et al., 2023)</w:t>
      </w:r>
      <w:r>
        <w:t xml:space="preserve">, and whose completeness across rural Bangladesh has not been measured.</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The regions differ in how water arrives.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Every dataset the pipeline ingests is openly licensed (Table 3). Administrative boundaries come from geoBoundaries, which unlike GADM may be redistributed and carries the union level for Bangladesh. OpenStreetMap coverage is uneven, so an area with few mapped assets shows low exposure whether or not much stands there, and WorldPop’s constrained product carries population only where buildings were detected in imagery.</w:t>
      </w:r>
    </w:p>
    <w:bookmarkEnd w:id="16"/>
    <w:bookmarkStart w:id="24"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chosen by the comparison in Section 5.5, where it is set against a two-layer GraphSAGE network</w:t>
      </w:r>
      <w:r>
        <w:t xml:space="preserve"> </w:t>
      </w:r>
      <w:r>
        <w:t xml:space="preserve">(Hamilton et al., 2017)</w:t>
      </w:r>
      <w:r>
        <w:t xml:space="preserve"> </w:t>
      </w:r>
      <w:r>
        <w:t xml:space="preserve">on a six-nearest-neighbour graph of assets, a random forest and logistic regression.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5.4). Every validation figure outside that section comes from the model without it, because the feature is built from the events the models are scored against.</w:t>
      </w:r>
    </w:p>
    <w:bookmarkEnd w:id="20"/>
    <w:bookmarkStart w:id="21" w:name="sec:hazard"/>
    <w:p>
      <w:pPr>
        <w:pStyle w:val="Heading2"/>
      </w:pPr>
      <w:r>
        <w:rPr>
          <w:rStyle w:val="SectionNumber"/>
        </w:rPr>
        <w:t xml:space="preserve">4.5</w:t>
      </w:r>
      <w:r>
        <w:tab/>
      </w:r>
      <w:r>
        <w:t xml:space="preserve">Hazard surfaces</w:t>
      </w:r>
    </w:p>
    <w:p>
      <w:pPr>
        <w:pStyle w:val="FirstParagraph"/>
      </w:pPr>
      <w:r>
        <w:t xml:space="preserve">Two hazard surfaces cover the grid. The first interpolates the asset scores by ordinary Kriging, which can add little between assets where the scores lack spatial structure, and the fitted variograms leave 0.307 of the sill unexplained at zero distance in Rangpur and Rajshahi and 0.742 in Sylhet. The second, the default, is a class-weighted logistic regression on each cell’s own elevation, slope, TWI, HAND and flow accumulation, trained at the assets on the observed labels and blocks and evaluated at every 30 m cell. It leaves out the access distances, which describe exposure rather than the likelihood of flooding, and so follows individual channels and levees where the Kriged surface varies over tens of kilometres (Supporting Information, Fig. S1).</w:t>
      </w:r>
    </w:p>
    <w:bookmarkEnd w:id="21"/>
    <w:bookmarkStart w:id="22" w:name="sec:aggregation"/>
    <w:p>
      <w:pPr>
        <w:pStyle w:val="Heading2"/>
      </w:pPr>
      <w:r>
        <w:rPr>
          <w:rStyle w:val="SectionNumber"/>
        </w:rPr>
        <w:t xml:space="preserve">4.6</w:t>
      </w:r>
      <w:r>
        <w:tab/>
      </w:r>
      <w:r>
        <w:t xml:space="preserve">Exposure, vulnerability and composite risk</w:t>
      </w:r>
    </w:p>
    <w:p>
      <w:pPr>
        <w:pStyle w:val="FirstParagraph"/>
      </w:pPr>
      <w:r>
        <w:t xml:space="preserve">Exposure is measured twice for each 500 m cell, once as the type-weighted count of mapped assets and once as WorldPop density, both log-scaled. Vulnerability combines population density with the distance to the nearest hospital, flood shelter and primary road, and components without data are left out rather than filled with a constant. Composite risk is the geometric mean of hazard, exposure and vulnerability, as in INFORM</w:t>
      </w:r>
      <w:r>
        <w:t xml:space="preserve"> </w:t>
      </w:r>
      <w:r>
        <w:t xml:space="preserve">(European Commission Joint Research Centre, 2017)</w:t>
      </w:r>
      <w:r>
        <w:t xml:space="preserve">, so that no exposure means no risk, and cells are placed in five relative classes by quintile. Cells and administrative units with no mapped assets carry no score, since sparse mapping would otherwise read as low risk. Results are summarised for every union, upazila and district (Fig. 3), and the weights, the hotspot method and a sensitivity analysis are in the Supporting Information (Sections S2 and S3). The ranking of cells is robust to the chosen weights, with a mean Spearman correlation of 0.963 with the published ranking when every weight is perturbed at random in Rangpur and Rajshahi, and it changes materially only when vulnerability is reduced to population density alone (</w:t>
      </w:r>
      <m:oMath>
        <m:r>
          <m:t>ρ</m:t>
        </m:r>
        <m:r>
          <m:rPr>
            <m:sty m:val="p"/>
          </m:rPr>
          <m:t>=</m:t>
        </m:r>
        <m:r>
          <m:t>0.663</m:t>
        </m:r>
      </m:oMath>
      <w:r>
        <w:t xml:space="preserve">).</w:t>
      </w:r>
    </w:p>
    <w:bookmarkEnd w:id="22"/>
    <w:bookmarkStart w:id="23" w:name="sec:design"/>
    <w:p>
      <w:pPr>
        <w:pStyle w:val="Heading2"/>
      </w:pPr>
      <w:r>
        <w:rPr>
          <w:rStyle w:val="SectionNumber"/>
        </w:rPr>
        <w:t xml:space="preserve">4.7</w:t>
      </w:r>
      <w:r>
        <w:tab/>
      </w:r>
      <w:r>
        <w:t xml:space="preserve">Validation design</w:t>
      </w:r>
    </w:p>
    <w:p>
      <w:pPr>
        <w:pStyle w:val="FirstParagraph"/>
      </w:pPr>
      <w:r>
        <w:t xml:space="preserve">Every model is scored on the held-out blocks by the area under the ROC curve (AUC), average precision and its lift over the base rate, and the Brier score, and the hazard surfaces are also scored against observed flooding over every grid cell. Every comparison between models or label sources is repeated over 20 block assignments drawn with different seeds and tested by a paired t-test on the differences across them, because one assignment gives a single number with no sense of its spread. A temporal test trains on the floods up to 2022 and scores against those of 2024 (Section 5.4).</w:t>
      </w:r>
    </w:p>
    <w:bookmarkEnd w:id="23"/>
    <w:bookmarkEnd w:id="24"/>
    <w:bookmarkStart w:id="31" w:name="sec:validation"/>
    <w:p>
      <w:pPr>
        <w:pStyle w:val="Heading1"/>
      </w:pPr>
      <w:r>
        <w:rPr>
          <w:rStyle w:val="SectionNumber"/>
        </w:rPr>
        <w:t xml:space="preserve">5</w:t>
      </w:r>
      <w:r>
        <w:tab/>
      </w:r>
      <w:r>
        <w:t xml:space="preserve">Results</w:t>
      </w:r>
    </w:p>
    <w:bookmarkStart w:id="25" w:name="held-out-results"/>
    <w:p>
      <w:pPr>
        <w:pStyle w:val="Heading2"/>
      </w:pPr>
      <w:r>
        <w:rPr>
          <w:rStyle w:val="SectionNumber"/>
        </w:rPr>
        <w:t xml:space="preserve">5.1</w:t>
      </w:r>
      <w:r>
        <w:tab/>
      </w:r>
      <w:r>
        <w:t xml:space="preserve">Held-out results</w:t>
      </w:r>
    </w:p>
    <w:p>
      <w:pPr>
        <w:pStyle w:val="FirstParagraph"/>
      </w:pPr>
      <w:r>
        <w:t xml:space="preserve">Table 5 reports the single block assignment behind the published outputs.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5). It carries less well to the coast, where the calibration blocks hold 5.5 % flood-prone assets against 1.7 % in the test blocks and the calibrated Brier score of 0.039 is worse than the base rate at 0.017.</w:t>
      </w:r>
    </w:p>
    <w:bookmarkEnd w:id="25"/>
    <w:bookmarkStart w:id="26"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(all</w:t>
      </w:r>
      <w:r>
        <w:t xml:space="preserve"> </w:t>
      </w:r>
      <m:oMath>
        <m:r>
          <m:t>p</m:t>
        </m:r>
        <m:r>
          <m:rPr>
            <m:sty m:val="p"/>
          </m:rPr>
          <m:t>&lt;</m:t>
        </m:r>
        <m:r>
          <m:t>0.001</m:t>
        </m:r>
      </m:oMath>
      <w:r>
        <w:t xml:space="preserve">; Fig. 4). This test favours the observed labels, since that model is scored against the definition it learned, so Section 5.4 repeats it against later floods that neither label source was trained on.</w:t>
      </w:r>
    </w:p>
    <w:bookmarkEnd w:id="26"/>
    <w:bookmarkStart w:id="27" w:name="the-south-west-coast"/>
    <w:p>
      <w:pPr>
        <w:pStyle w:val="Heading2"/>
      </w:pPr>
      <w:r>
        <w:rPr>
          <w:rStyle w:val="SectionNumber"/>
        </w:rPr>
        <w:t xml:space="preserve">5.3</w:t>
      </w:r>
      <w:r>
        <w:tab/>
      </w:r>
      <w:r>
        <w:t xml:space="preserve">The south-west coast</w:t>
      </w:r>
    </w:p>
    <w:p>
      <w:pPr>
        <w:pStyle w:val="FirstParagraph"/>
      </w:pPr>
      <w:r>
        <w:t xml:space="preserve">On the coast the asset model still ranks flooded ground above dry ground (AUC 0.794), but across the grid both hazard surfaces are close to chance, the terrain surface at 0.542 and the Kriged one at 0.538. The same two surfaces reach 0.657 and 0.666 in Rangpur and Rajshahi and 0.822 and 0.544 in Sylhet. Surge flooding is governed by polder embankments, tidal channels and landfall position, none of which elevation describes.</w:t>
      </w:r>
    </w:p>
    <w:bookmarkEnd w:id="27"/>
    <w:bookmarkStart w:id="28" w:name="sec:temporal"/>
    <w:p>
      <w:pPr>
        <w:pStyle w:val="Heading2"/>
      </w:pPr>
      <w:r>
        <w:rPr>
          <w:rStyle w:val="SectionNumber"/>
        </w:rPr>
        <w:t xml:space="preserve">5.4</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losing nothing measurable in Rangpur and Rajshahi by leaving out 2024 (</w:t>
      </w:r>
      <m:oMath>
        <m:r>
          <m:t>p</m:t>
        </m:r>
        <m:r>
          <m:rPr>
            <m:sty m:val="p"/>
          </m:rPr>
          <m:t>=</m:t>
        </m:r>
        <m:r>
          <m:t>0.052</m:t>
        </m:r>
      </m:oMath>
      <w:r>
        <w:t xml:space="preserve">) and 0.053 and 0.028 elsewhere. In both riverine regions the record of earlier flooding ranks the 2024 flooding better, at 0.896 and 0.851, with the model ahead on only 2 and 4 of 20 assignments, whereas on the coast the model leads, at 0.807 against 0.668. Riverine flooding returns to much the same ground, and only 16.9 % and 22.3 % of the assets flooded in 2024 stood on ground no earlier event had reached, against 65.5 % on the coast, where each surge floods the stretch of coast where it lands.</w:t>
      </w:r>
    </w:p>
    <w:p>
      <w:pPr>
        <w:pStyle w:val="BodyText"/>
      </w:pPr>
      <w:r>
        <w:t xml:space="preserve">The record and the 2024 floods come from the same change detection, so ground that radar mistakes for water every monsoon, such as wet paddy, would count as flooded in both and favour the record. Surfaces that stay dark in the dry season, such as sand bars and permanent wetland, are already rejected, since a pixel must darken against its dry-season baseline. The comparison was therefore repeated twice on stricter test sets, once without the ground flagged in every earlier event and once without the ground the JRC record has ever seen under water, and each removal also takes away genuinely flood-prone ground, so the check can only work against the record. Without the always-flooded ground the record still led, by 0.063 in Rangpur and Rajshahi and 0.040 in Sylhet (</w:t>
      </w:r>
      <m:oMath>
        <m:r>
          <m:t>p</m:t>
        </m:r>
        <m:r>
          <m:rPr>
            <m:sty m:val="p"/>
          </m:rPr>
          <m:t>=</m:t>
        </m:r>
        <m:r>
          <m:t>0.008</m:t>
        </m:r>
      </m:oMath>
      <w:r>
        <w:t xml:space="preserve"> </w:t>
      </w:r>
      <w:r>
        <w:t xml:space="preserve">and</w:t>
      </w:r>
      <w:r>
        <w:t xml:space="preserve"> </w:t>
      </w:r>
      <m:oMath>
        <m:r>
          <m:t>p</m:t>
        </m:r>
        <m:r>
          <m:rPr>
            <m:sty m:val="p"/>
          </m:rPr>
          <m:t>=</m:t>
        </m:r>
        <m:r>
          <m:t>0.014</m:t>
        </m:r>
      </m:oMath>
      <w:r>
        <w:t xml:space="preserve">). Outside recorded water it led in Rangpur and Rajshahi by 0.071 (</w:t>
      </w:r>
      <m:oMath>
        <m:r>
          <m:t>p</m:t>
        </m:r>
        <m:r>
          <m:rPr>
            <m:sty m:val="p"/>
          </m:rPr>
          <m:t>=</m:t>
        </m:r>
        <m:r>
          <m:t>0.012</m:t>
        </m:r>
      </m:oMath>
      <w:r>
        <w:t xml:space="preserve">), while in Sylhet the model and the record could not be told apart, at 0.799 and 0.794 (</w:t>
      </w:r>
      <m:oMath>
        <m:r>
          <m:t>p</m:t>
        </m:r>
        <m:r>
          <m:rPr>
            <m:sty m:val="p"/>
          </m:rPr>
          <m:t>=</m:t>
        </m:r>
        <m:r>
          <m:t>0.842</m:t>
        </m:r>
      </m:oMath>
      <w:r>
        <w:t xml:space="preserve">), on the 72.0 % of assets that hold only 29.9 % of the ground the 2024 floods reached. The record’s lead in Rangpur and Rajshahi therefore does not rest on ground that radar misreads every year, whereas in Sylhet it rests on the margins of the haor’s seasonal water, where floods return to the same ground. On the coast the model’s lead held on both sets, at 0.140 and 0.166.</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&lt;</m:t>
        </m:r>
        <m:r>
          <m:t>0.001</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improves on the model without the feature at 0.837 (</w:t>
      </w:r>
      <m:oMath>
        <m:r>
          <m:t>p</m:t>
        </m:r>
        <m:r>
          <m:rPr>
            <m:sty m:val="p"/>
          </m:rPr>
          <m:t>=</m:t>
        </m:r>
        <m:r>
          <m:t>0.015</m:t>
        </m:r>
      </m:oMath>
      <w:r>
        <w:t xml:space="preserve">) but not on the record alone at 0.851 (</w:t>
      </w:r>
      <m:oMath>
        <m:r>
          <m:t>p</m:t>
        </m:r>
        <m:r>
          <m:rPr>
            <m:sty m:val="p"/>
          </m:rPr>
          <m:t>=</m:t>
        </m:r>
        <m:r>
          <m:t>0.767</m:t>
        </m:r>
      </m:oMath>
      <w:r>
        <w:t xml:space="preserve">). It still ranks the 2024 flooding at 0.777 on the 79.8 % of test assets that no earlier flood reached. On the coast, where the design leaves a single cyclone to train on, the combination at 0.648 cannot be told apart from the record alone (</w:t>
      </w:r>
      <m:oMath>
        <m:r>
          <m:t>p</m:t>
        </m:r>
        <m:r>
          <m:rPr>
            <m:sty m:val="p"/>
          </m:rPr>
          <m:t>=</m:t>
        </m:r>
        <m:r>
          <m:t>0.315</m:t>
        </m:r>
      </m:oMath>
      <w:r>
        <w:t xml:space="preserv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w:t>
      </w:r>
      <m:oMath>
        <m:r>
          <m:t>p</m:t>
        </m:r>
        <m:r>
          <m:rPr>
            <m:sty m:val="p"/>
          </m:rPr>
          <m:t>&lt;</m:t>
        </m:r>
        <m:r>
          <m:t>0.001</m:t>
        </m:r>
      </m:oMath>
      <w:r>
        <w:t xml:space="preserve">,</w:t>
      </w:r>
      <w:r>
        <w:t xml:space="preserve"> </w:t>
      </w:r>
      <m:oMath>
        <m:r>
          <m:t>p</m:t>
        </m:r>
        <m:r>
          <m:rPr>
            <m:sty m:val="p"/>
          </m:rPr>
          <m:t>=</m:t>
        </m:r>
        <m:r>
          <m:t>0.063</m:t>
        </m:r>
      </m:oMath>
      <w:r>
        <w:t xml:space="preserve"> </w:t>
      </w:r>
      <w:r>
        <w:t xml:space="preserve">and</w:t>
      </w:r>
      <w:r>
        <w:t xml:space="preserve"> </w:t>
      </w:r>
      <m:oMath>
        <m:r>
          <m:t>p</m:t>
        </m:r>
        <m:r>
          <m:rPr>
            <m:sty m:val="p"/>
          </m:rPr>
          <m:t>&lt;</m:t>
        </m:r>
        <m:r>
          <m:t>0.001</m:t>
        </m:r>
      </m:oMath>
      <w:r>
        <w:t xml:space="preserve">).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8"/>
    <w:bookmarkStart w:id="29" w:name="sec:benchmark"/>
    <w:p>
      <w:pPr>
        <w:pStyle w:val="Heading2"/>
      </w:pPr>
      <w:r>
        <w:rPr>
          <w:rStyle w:val="SectionNumber"/>
        </w:rPr>
        <w:t xml:space="preserve">5.5</w:t>
      </w:r>
      <w:r>
        <w:tab/>
      </w:r>
      <w:r>
        <w:t xml:space="preserve">Model comparison</w:t>
      </w:r>
    </w:p>
    <w:p>
      <w:pPr>
        <w:pStyle w:val="FirstParagraph"/>
      </w:pPr>
      <w:r>
        <w:t xml:space="preserve">A graph neural network, the design this system began with, is set against logistic regression, a random forest and gradient boosting on the same features, assets and blocks, with the wetness index alone as a model-free reference, over 20 assignments (Table 7, Fig. 6). The graph network trails the best ordinary model in every region, by 0.028 in AUC in Rangpur and Rajshahi (</w:t>
      </w:r>
      <m:oMath>
        <m:r>
          <m:t>p</m:t>
        </m:r>
        <m:r>
          <m:rPr>
            <m:sty m:val="p"/>
          </m:rPr>
          <m:t>&lt;</m:t>
        </m:r>
        <m:r>
          <m:t>0.001</m:t>
        </m:r>
      </m:oMath>
      <w:r>
        <w:t xml:space="preserve">, ahead on 2 of 20 assignments) and 0.022 on the coast (</w:t>
      </w:r>
      <m:oMath>
        <m:r>
          <m:t>p</m:t>
        </m:r>
        <m:r>
          <m:rPr>
            <m:sty m:val="p"/>
          </m:rPr>
          <m:t>=</m:t>
        </m:r>
        <m:r>
          <m:t>0.040</m:t>
        </m:r>
      </m:oMath>
      <w:r>
        <w:t xml:space="preserve">, ahead on 6), while in Sylhet its gap of 0.003 is within noise (</w:t>
      </w:r>
      <m:oMath>
        <m:r>
          <m:t>p</m:t>
        </m:r>
        <m:r>
          <m:rPr>
            <m:sty m:val="p"/>
          </m:rPr>
          <m:t>=</m:t>
        </m:r>
        <m:r>
          <m:t>0.674</m:t>
        </m:r>
      </m:oMath>
      <w:r>
        <w:t xml:space="preserve">, ahead on 7). Gradient boosting scores best in every region, although in Sylhet logistic regression, the graph network and the random forest all come within 0.012 of it.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End w:id="29"/>
    <w:bookmarkStart w:id="30"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7).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30"/>
    <w:bookmarkEnd w:id="31"/>
    <w:bookmarkStart w:id="37" w:name="sec:discussion"/>
    <w:p>
      <w:pPr>
        <w:pStyle w:val="Heading1"/>
      </w:pPr>
      <w:r>
        <w:rPr>
          <w:rStyle w:val="SectionNumber"/>
        </w:rPr>
        <w:t xml:space="preserve">6</w:t>
      </w:r>
      <w:r>
        <w:tab/>
      </w:r>
      <w:r>
        <w:t xml:space="preserve">Discussion</w:t>
      </w:r>
    </w:p>
    <w:bookmarkStart w:id="32" w:name="Xb4a8fee8a51e2cac850759879c84117ad532b59"/>
    <w:p>
      <w:pPr>
        <w:pStyle w:val="Heading2"/>
      </w:pPr>
      <w:r>
        <w:rPr>
          <w:rStyle w:val="SectionNumber"/>
        </w:rPr>
        <w:t xml:space="preserve">6.1</w:t>
      </w:r>
      <w:r>
        <w:tab/>
      </w:r>
      <w:r>
        <w:t xml:space="preserve">Labels decide what an accuracy figure means</w:t>
      </w:r>
    </w:p>
    <w:p>
      <w:pPr>
        <w:pStyle w:val="FirstParagraph"/>
      </w:pPr>
      <w:r>
        <w:t xml:space="preserve">The label source bears most directly on published flood maps. Terrain-threshold labels cost the model 0.101, 0.087 and 0.080 in AUC on held-out blocks. Against later floods that neither label source had seen they still cost 0.069, 0.024 and 0.071, so in Rangpur and Rajshahi and on the coast the advantage of radar labels does not depend on the test sharing their definition, while in Sylhet most of it did.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2"/>
    <w:bookmarkStart w:id="33" w:name="what-the-flood-record-already-knows"/>
    <w:p>
      <w:pPr>
        <w:pStyle w:val="Heading2"/>
      </w:pPr>
      <w:r>
        <w:rPr>
          <w:rStyle w:val="SectionNumber"/>
        </w:rPr>
        <w:t xml:space="preserve">6.2</w:t>
      </w:r>
      <w:r>
        <w:tab/>
      </w:r>
      <w:r>
        <w:t xml:space="preserve">What the flood record already knows</w:t>
      </w:r>
    </w:p>
    <w:p>
      <w:pPr>
        <w:pStyle w:val="FirstParagraph"/>
      </w:pPr>
      <w:r>
        <w:t xml:space="preserve">Susceptibility studies rarely ask whether a model anticipates a later flood better than the record of earlier ones. In both riverine regions it did not, and in Rangpur and Rajshahi the record kept its lead when the ground that radar could misread every monsoon was set aside, while in Sylhet its lead lay on the margins of the haor’s seasonal water. Given that record as a feature, the model beat both in Rangpur and Rajshahi, gaining on ground no earlier flood had reached, where the record cannot rank at all. In Sylhet it matched the record without improving on it. The record marks where water returns and the terrain ranks where it has not yet been seen, so a susceptibility map for a river basin with a radar flood history should at least report the record beside it, and where the record is informative the two can be combined. On the coast, where most of the ground Cyclone Remal flooded had not flooded in the earlier cyclones, the model trained on those cyclones did best. A study that reports accuracy without the past-flooding reference cannot show that its model knows more than the flood record already does, and the two are simple to compare wherever Sentinel-1 has observed earlier floods.</w:t>
      </w:r>
    </w:p>
    <w:bookmarkEnd w:id="33"/>
    <w:bookmarkStart w:id="34" w:name="what-the-graph-did-not-add"/>
    <w:p>
      <w:pPr>
        <w:pStyle w:val="Heading2"/>
      </w:pPr>
      <w:r>
        <w:rPr>
          <w:rStyle w:val="SectionNumber"/>
        </w:rPr>
        <w:t xml:space="preserve">6.3</w:t>
      </w:r>
      <w:r>
        <w:tab/>
      </w:r>
      <w:r>
        <w:t xml:space="preserve">What the graph did not add</w:t>
      </w:r>
    </w:p>
    <w:p>
      <w:pPr>
        <w:pStyle w:val="FirstParagraph"/>
      </w:pPr>
      <w:r>
        <w:t xml:space="preserve">The graph network rested on the reasoning that neighbouring assets flood together, yet on identical features and blocks it trailed the best tabular model in every region, measurably so in Rangpur and Rajshahi and on the coast, and matched it only within noise in Sylhet. A likely reason is that the features already carry the neighbourhood, since nearby assets share elevation and distances to the same roads, schools and shelters, the access distances rank alongside or ahead of elevation, and a tree can split on those values directly, although this was not tested. Kriging fared no better, and in Sylhet, where it smoothed the scores towards the regional average, it ranked observed flooding across the grid at 0.544 against 0.822 for the terrain surface. At this scale neither linking assets into a graph nor interpolating between them consistently improved spatial prediction, and studies proposing either should report the tabular baseline on the same blocks.</w:t>
      </w:r>
    </w:p>
    <w:bookmarkEnd w:id="34"/>
    <w:bookmarkStart w:id="35" w:name="sec:implications"/>
    <w:p>
      <w:pPr>
        <w:pStyle w:val="Heading2"/>
      </w:pPr>
      <w:r>
        <w:rPr>
          <w:rStyle w:val="SectionNumber"/>
        </w:rPr>
        <w:t xml:space="preserve">6.4</w:t>
      </w:r>
      <w:r>
        <w:tab/>
      </w:r>
      <w:r>
        <w:t xml:space="preserve">Implications for flood risk management</w:t>
      </w:r>
    </w:p>
    <w:p>
      <w:pPr>
        <w:pStyle w:val="FirstParagraph"/>
      </w:pPr>
      <w:r>
        <w:t xml:space="preserve">The results bear on flood risk management in three ways. First, where Sentinel-1 has observed several floods, the record of where water has already stood is a stronger guide to the next riverine flood than a terrain model alone, and it costs little to compute, so agencies such as the Bangladesh Water Development Board and the Flood Forecasting and Warning Centre could publish it as a planning layer beside any susceptibility map. The terrain model adds most where the record is silent, on ground no mapped flood has reached and on a coast where each surge strikes new ground. Second, a susceptibility map used to site shelters, embankments or schools should be judged on held-out areas and later floods rather than on random splits, since the accuracy a random split reports overstates how far the map can be trusted in places it has not seen. Third, the composite risk classes rank unions within a region and must be read with their gaps, because a union without mapped assets carries no score rather than a low one. The best tabular models tested here differed by little more than 0.01 in AUC, so better OpenStreetMap coverage of rural unions would probably improve the map more than a new model would. Infrastructure also fails in networks, and the disruption of services beyond a flooded asset, which asset-level exposure omits, needs network modelling of the kind developed for Accra</w:t>
      </w:r>
      <w:r>
        <w:t xml:space="preserve"> </w:t>
      </w:r>
      <w:r>
        <w:t xml:space="preserve">(Schotten &amp; Bachmann, 2023)</w:t>
      </w:r>
      <w:r>
        <w:t xml:space="preserve">. Validated against losses, maps of this kind could help set priorities among structural and non-structural flood measures in the districts they cover.</w:t>
      </w:r>
    </w:p>
    <w:bookmarkEnd w:id="35"/>
    <w:bookmarkStart w:id="36" w:name="limits-of-the-maps"/>
    <w:p>
      <w:pPr>
        <w:pStyle w:val="Heading2"/>
      </w:pPr>
      <w:r>
        <w:rPr>
          <w:rStyle w:val="SectionNumber"/>
        </w:rPr>
        <w:t xml:space="preserve">6.5</w:t>
      </w:r>
      <w:r>
        <w:tab/>
      </w:r>
      <w:r>
        <w:t xml:space="preserve">Limits of the maps</w:t>
      </w:r>
    </w:p>
    <w:p>
      <w:pPr>
        <w:pStyle w:val="FirstParagraph"/>
      </w:pPr>
      <w:r>
        <w:t xml:space="preserve">The coast is the clearest limit. Both hazard surfaces are close to chance there, because surge flooding follows embankments, tidal channels and landfall position, which the pipeline does not yet ingest, so the coastal composite is not a map of surge exposure. Exposure depends on OpenStreetMap, whose rural completeness is unmeasured, and composite risk is defined only where assets are mapped, 12.5 % of grid cells in Rangpur and Rajshahi, while vulnerability omits income, housing and age structure, dimensions that a household survey in flood-prone Sunamganj found to matter</w:t>
      </w:r>
      <w:r>
        <w:t xml:space="preserve"> </w:t>
      </w:r>
      <w:r>
        <w:t xml:space="preserve">(Rahman et al., 2025)</w:t>
      </w:r>
      <w:r>
        <w:t xml:space="preserve">. The radar labels carry error of their own, agreeing only moderately with an independent MODIS map and counting inundated paddy as flooding, although setting aside the ground most exposed to a repeated error left the record’s lead in Rangpur and Rajshahi intact (Section 5.4). Every score here therefore measures agreement with flooding mapped by radar rather than with flooding on the ground. The calibrated probabilities hold for a region as a whole rather than for any one area. The composite risk has not been checked against losses, and damage records for the 2022 and 2024 floods, where available, or depth-damage curves for infrastructure components such as those derived by expert elicitation</w:t>
      </w:r>
      <w:r>
        <w:t xml:space="preserve"> </w:t>
      </w:r>
      <w:r>
        <w:t xml:space="preserve">(Williams et al., 2025)</w:t>
      </w:r>
      <w:r>
        <w:t xml:space="preserve">, would allow the risk classes to be tested against the harm they are meant to anticipate. None of the surfaces is a forecast, and warnings remain the task of the Flood Forecasting and Warning Centre and the Bangladesh Meteorological Department.</w:t>
      </w:r>
    </w:p>
    <w:bookmarkEnd w:id="36"/>
    <w:bookmarkEnd w:id="37"/>
    <w:bookmarkStart w:id="38" w:name="sec:conclusions"/>
    <w:p>
      <w:pPr>
        <w:pStyle w:val="Heading1"/>
      </w:pPr>
      <w:r>
        <w:rPr>
          <w:rStyle w:val="SectionNumber"/>
        </w:rPr>
        <w:t xml:space="preserve">7</w:t>
      </w:r>
      <w:r>
        <w:tab/>
      </w:r>
      <w:r>
        <w:t xml:space="preserve">Conclusions</w:t>
      </w:r>
    </w:p>
    <w:p>
      <w:pPr>
        <w:pStyle w:val="FirstParagraph"/>
      </w:pPr>
      <w:r>
        <w:t xml:space="preserve">Radar-observed flood extents made better training labels than terrain thresholds, by 0.101, 0.087 and 0.080 in AUC on held-out ground and by 0.069, 0.024 and 0.071 against later floods, which bears on how any map trained and scored against terrain-derived labels should be read. In the riverine regions the record of earlier floods predicted the 2024 flooding better than the model, and in Rangpur and Rajshahi a model given that record as a feature beat both, reaching 0.924, while in Sylhet it matched the record. Ordinary tabular models matched or beat a graph neural network, with elevation and the access distances carrying the signal. The terrain hazard surface ranked observed flooding across the grid at 0.657 and 0.822 in the riverine regions and close to chance on the coast. Every number in this paper is generated from the released pipeline outputs, so each can be checked and rebuilt.</w:t>
      </w:r>
    </w:p>
    <w:bookmarkEnd w:id="38"/>
    <w:bookmarkStart w:id="42"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9">
        <w:r>
          <w:rPr>
            <w:rStyle w:val="Hyperlink"/>
          </w:rPr>
          <w:t xml:space="preserve">https://doi.org/10.5281/zenodo.23108572</w:t>
        </w:r>
      </w:hyperlink>
      <w:r>
        <w:t xml:space="preserve">. The code that produced them is openly available at</w:t>
      </w:r>
      <w:r>
        <w:t xml:space="preserve"> </w:t>
      </w:r>
      <w:hyperlink r:id="rId40">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four regions, including that one,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41">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2"/>
    <w:bookmarkStart w:id="43"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3"/>
    <w:bookmarkStart w:id="109" w:name="references"/>
    <w:p>
      <w:pPr>
        <w:pStyle w:val="Heading1"/>
      </w:pPr>
      <w:r>
        <w:t xml:space="preserve">References</w:t>
      </w:r>
    </w:p>
    <w:bookmarkStart w:id="108" w:name="refs"/>
    <w:bookmarkStart w:id="45"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4">
        <w:r>
          <w:rPr>
            <w:rStyle w:val="Hyperlink"/>
          </w:rPr>
          <w:t xml:space="preserve">https://doi.org/10.1016/j.jenvman.2022.116813</w:t>
        </w:r>
      </w:hyperlink>
    </w:p>
    <w:bookmarkEnd w:id="45"/>
    <w:bookmarkStart w:id="47"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6">
        <w:r>
          <w:rPr>
            <w:rStyle w:val="Hyperlink"/>
          </w:rPr>
          <w:t xml:space="preserve">https://doi.org/10.3390/rs16040656</w:t>
        </w:r>
      </w:hyperlink>
    </w:p>
    <w:bookmarkEnd w:id="47"/>
    <w:bookmarkStart w:id="49" w:name="ref-bentivoglio2022"/>
    <w:p>
      <w:pPr>
        <w:pStyle w:val="Bibliography"/>
      </w:pPr>
      <w:r>
        <w:t xml:space="preserve">Bentivoglio, R., Isufi, E., Jonkman, S. N., &amp; Taormina, R. (2022).</w:t>
      </w:r>
      <w:r>
        <w:t xml:space="preserve"> </w:t>
      </w:r>
      <w:r>
        <w:t xml:space="preserve">Deep learning methods for flood mapping: a review of existing applications and future research directions</w:t>
      </w:r>
      <w:r>
        <w:t xml:space="preserve">.</w:t>
      </w:r>
      <w:r>
        <w:t xml:space="preserve"> </w:t>
      </w:r>
      <w:r>
        <w:rPr>
          <w:i/>
          <w:iCs/>
        </w:rPr>
        <w:t xml:space="preserve">Hydrology and Earth System Sciences</w:t>
      </w:r>
      <w:r>
        <w:t xml:space="preserve">,</w:t>
      </w:r>
      <w:r>
        <w:t xml:space="preserve"> </w:t>
      </w:r>
      <w:r>
        <w:rPr>
          <w:i/>
          <w:iCs/>
        </w:rPr>
        <w:t xml:space="preserve">26</w:t>
      </w:r>
      <w:r>
        <w:t xml:space="preserve">(16), 4345–4378.</w:t>
      </w:r>
      <w:r>
        <w:t xml:space="preserve"> </w:t>
      </w:r>
      <w:hyperlink r:id="rId48">
        <w:r>
          <w:rPr>
            <w:rStyle w:val="Hyperlink"/>
          </w:rPr>
          <w:t xml:space="preserve">https://doi.org/10.5194/hess-26-4345-2022</w:t>
        </w:r>
      </w:hyperlink>
    </w:p>
    <w:bookmarkEnd w:id="49"/>
    <w:bookmarkStart w:id="51"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50">
        <w:r>
          <w:rPr>
            <w:rStyle w:val="Hyperlink"/>
          </w:rPr>
          <w:t xml:space="preserve">https://doi.org/10.1080/02626667909491834</w:t>
        </w:r>
      </w:hyperlink>
    </w:p>
    <w:bookmarkEnd w:id="51"/>
    <w:bookmarkStart w:id="53"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2">
        <w:r>
          <w:rPr>
            <w:rStyle w:val="Hyperlink"/>
          </w:rPr>
          <w:t xml:space="preserve">https://doi.org/10.1111/jfr3.70201</w:t>
        </w:r>
      </w:hyperlink>
    </w:p>
    <w:bookmarkEnd w:id="53"/>
    <w:bookmarkStart w:id="55" w:name="ref-inform2017"/>
    <w:p>
      <w:pPr>
        <w:pStyle w:val="Bibliography"/>
      </w:pPr>
      <w:r>
        <w:t xml:space="preserve">European Commission Joint Research Centre. (2017).</w:t>
      </w:r>
      <w:r>
        <w:t xml:space="preserve"> </w:t>
      </w:r>
      <w:r>
        <w:rPr>
          <w:i/>
          <w:iCs/>
        </w:rPr>
        <w:t xml:space="preserve">Index for Risk Management – INFORM: Concept and Methodology, Version 2017</w:t>
      </w:r>
      <w:r>
        <w:t xml:space="preserve">. Publications Office of the European Union.</w:t>
      </w:r>
      <w:r>
        <w:t xml:space="preserve"> </w:t>
      </w:r>
      <w:hyperlink r:id="rId54">
        <w:r>
          <w:rPr>
            <w:rStyle w:val="Hyperlink"/>
          </w:rPr>
          <w:t xml:space="preserve">https://doi.org/10.2760/094023</w:t>
        </w:r>
      </w:hyperlink>
    </w:p>
    <w:bookmarkEnd w:id="55"/>
    <w:bookmarkStart w:id="57"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56">
        <w:r>
          <w:rPr>
            <w:rStyle w:val="Hyperlink"/>
          </w:rPr>
          <w:t xml:space="preserve">https://arxiv.org/abs/1706.02216</w:t>
        </w:r>
      </w:hyperlink>
    </w:p>
    <w:bookmarkEnd w:id="57"/>
    <w:bookmarkStart w:id="59" w:name="ref-herfort2023"/>
    <w:p>
      <w:pPr>
        <w:pStyle w:val="Bibliography"/>
      </w:pPr>
      <w:r>
        <w:t xml:space="preserve">Herfort, B., Lautenbach, S., Porto de Albuquerque, J., Anderson, J., &amp; Zipf, A. (2023).</w:t>
      </w:r>
      <w:r>
        <w:t xml:space="preserve"> </w:t>
      </w:r>
      <w:r>
        <w:t xml:space="preserve">A spatio-temporal analysis investigating completeness and inequalities of global urban building data in OpenStreetMap</w:t>
      </w:r>
      <w:r>
        <w:t xml:space="preserve">.</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58">
        <w:r>
          <w:rPr>
            <w:rStyle w:val="Hyperlink"/>
          </w:rPr>
          <w:t xml:space="preserve">https://doi.org/10.1038/s41467-023-39698-6</w:t>
        </w:r>
      </w:hyperlink>
    </w:p>
    <w:bookmarkEnd w:id="59"/>
    <w:bookmarkStart w:id="61"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60">
        <w:r>
          <w:rPr>
            <w:rStyle w:val="Hyperlink"/>
          </w:rPr>
          <w:t xml:space="preserve">https://doi.org/10.1016/j.gsf.2020.09.006</w:t>
        </w:r>
      </w:hyperlink>
    </w:p>
    <w:bookmarkEnd w:id="61"/>
    <w:bookmarkStart w:id="63"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62">
        <w:r>
          <w:rPr>
            <w:rStyle w:val="Hyperlink"/>
          </w:rPr>
          <w:t xml:space="preserve">https://doi.org/10.1016/j.envc.2023.100833</w:t>
        </w:r>
      </w:hyperlink>
    </w:p>
    <w:bookmarkEnd w:id="63"/>
    <w:bookmarkStart w:id="65" w:name="ref-koks2019"/>
    <w:p>
      <w:pPr>
        <w:pStyle w:val="Bibliography"/>
      </w:pPr>
      <w:r>
        <w:t xml:space="preserve">Koks, E. E., Rozenberg, J., Zorn, C., Tariverdi, M., Vousdoukas, M., Fraser, S. A., Hall, J. W., &amp; Hallegatte, S. (2019).</w:t>
      </w:r>
      <w:r>
        <w:t xml:space="preserve"> </w:t>
      </w:r>
      <w:r>
        <w:t xml:space="preserve">A global multi-hazard risk analysis of road and railway infrastructure assets</w:t>
      </w:r>
      <w:r>
        <w:t xml:space="preserve">.</w:t>
      </w:r>
      <w:r>
        <w:t xml:space="preserve"> </w:t>
      </w:r>
      <w:r>
        <w:rPr>
          <w:i/>
          <w:iCs/>
        </w:rPr>
        <w:t xml:space="preserve">Nature Communications</w:t>
      </w:r>
      <w:r>
        <w:t xml:space="preserve">,</w:t>
      </w:r>
      <w:r>
        <w:t xml:space="preserve"> </w:t>
      </w:r>
      <w:r>
        <w:rPr>
          <w:i/>
          <w:iCs/>
        </w:rPr>
        <w:t xml:space="preserve">10</w:t>
      </w:r>
      <w:r>
        <w:t xml:space="preserve">(1), 2677.</w:t>
      </w:r>
      <w:r>
        <w:t xml:space="preserve"> </w:t>
      </w:r>
      <w:hyperlink r:id="rId64">
        <w:r>
          <w:rPr>
            <w:rStyle w:val="Hyperlink"/>
          </w:rPr>
          <w:t xml:space="preserve">https://doi.org/10.1038/s41467-019-10442-3</w:t>
        </w:r>
      </w:hyperlink>
    </w:p>
    <w:bookmarkEnd w:id="65"/>
    <w:bookmarkStart w:id="67" w:name="ref-ma2025"/>
    <w:p>
      <w:pPr>
        <w:pStyle w:val="Bibliography"/>
      </w:pPr>
      <w:r>
        <w:t xml:space="preserve">Ma, J., Han, Z., Liu, F., Wang, X., Hu, J., &amp; Zhang, P. (2025).</w:t>
      </w:r>
      <w:r>
        <w:t xml:space="preserve"> </w:t>
      </w:r>
      <w:r>
        <w:t xml:space="preserve">ConToGCN: A landslide susceptibility assessment model considering contour topographic features in slope units using graph convolution network</w:t>
      </w:r>
      <w:r>
        <w:t xml:space="preserve">.</w:t>
      </w:r>
      <w:r>
        <w:t xml:space="preserve"> </w:t>
      </w:r>
      <w:r>
        <w:rPr>
          <w:i/>
          <w:iCs/>
        </w:rPr>
        <w:t xml:space="preserve">CATENA</w:t>
      </w:r>
      <w:r>
        <w:t xml:space="preserve">,</w:t>
      </w:r>
      <w:r>
        <w:t xml:space="preserve"> </w:t>
      </w:r>
      <w:r>
        <w:rPr>
          <w:i/>
          <w:iCs/>
        </w:rPr>
        <w:t xml:space="preserve">255</w:t>
      </w:r>
      <w:r>
        <w:t xml:space="preserve">, 109029.</w:t>
      </w:r>
      <w:r>
        <w:t xml:space="preserve"> </w:t>
      </w:r>
      <w:hyperlink r:id="rId66">
        <w:r>
          <w:rPr>
            <w:rStyle w:val="Hyperlink"/>
          </w:rPr>
          <w:t xml:space="preserve">https://doi.org/10.1016/j.catena.2025.109029</w:t>
        </w:r>
      </w:hyperlink>
    </w:p>
    <w:bookmarkEnd w:id="67"/>
    <w:bookmarkStart w:id="69"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68">
        <w:r>
          <w:rPr>
            <w:rStyle w:val="Hyperlink"/>
          </w:rPr>
          <w:t xml:space="preserve">https://doi.org/10.1145/1102351.1102430</w:t>
        </w:r>
      </w:hyperlink>
    </w:p>
    <w:bookmarkEnd w:id="69"/>
    <w:bookmarkStart w:id="71"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70">
        <w:r>
          <w:rPr>
            <w:rStyle w:val="Hyperlink"/>
          </w:rPr>
          <w:t xml:space="preserve">https://doi.org/10.1016/j.jhydrol.2011.03.051</w:t>
        </w:r>
      </w:hyperlink>
    </w:p>
    <w:bookmarkEnd w:id="71"/>
    <w:bookmarkStart w:id="73"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72">
        <w:r>
          <w:rPr>
            <w:rStyle w:val="Hyperlink"/>
          </w:rPr>
          <w:t xml:space="preserve">https://doi.org/10.1038/nature20584</w:t>
        </w:r>
      </w:hyperlink>
    </w:p>
    <w:bookmarkEnd w:id="73"/>
    <w:bookmarkStart w:id="75"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74">
        <w:r>
          <w:rPr>
            <w:rStyle w:val="Hyperlink"/>
          </w:rPr>
          <w:t xml:space="preserve">https://doi.org/10.1038/s41467-020-18321-y</w:t>
        </w:r>
      </w:hyperlink>
    </w:p>
    <w:bookmarkEnd w:id="75"/>
    <w:bookmarkStart w:id="77" w:name="ref-rahmanm2025"/>
    <w:p>
      <w:pPr>
        <w:pStyle w:val="Bibliography"/>
      </w:pPr>
      <w:r>
        <w:t xml:space="preserve">Rahman, M. M., Tanni, K. N., Shobuj, I. A., Hossain, Md. T., Alam, E., Al Hattaw, K. S., &amp; Islam, M. K. (2025).</w:t>
      </w:r>
      <w:r>
        <w:t xml:space="preserve"> </w:t>
      </w:r>
      <w:r>
        <w:t xml:space="preserve">Multidimensional Vulnerability Assessment for Floods: Evidence From Flood-Prone Areas of Bangladesh</w:t>
      </w:r>
      <w:r>
        <w:t xml:space="preserve">.</w:t>
      </w:r>
      <w:r>
        <w:t xml:space="preserve"> </w:t>
      </w:r>
      <w:r>
        <w:rPr>
          <w:i/>
          <w:iCs/>
        </w:rPr>
        <w:t xml:space="preserve">Journal of Flood Risk Management</w:t>
      </w:r>
      <w:r>
        <w:t xml:space="preserve">,</w:t>
      </w:r>
      <w:r>
        <w:t xml:space="preserve"> </w:t>
      </w:r>
      <w:r>
        <w:rPr>
          <w:i/>
          <w:iCs/>
        </w:rPr>
        <w:t xml:space="preserve">18</w:t>
      </w:r>
      <w:r>
        <w:t xml:space="preserve">(3), e70089.</w:t>
      </w:r>
      <w:r>
        <w:t xml:space="preserve"> </w:t>
      </w:r>
      <w:hyperlink r:id="rId76">
        <w:r>
          <w:rPr>
            <w:rStyle w:val="Hyperlink"/>
          </w:rPr>
          <w:t xml:space="preserve">https://doi.org/10.1111/jfr3.70089</w:t>
        </w:r>
      </w:hyperlink>
    </w:p>
    <w:bookmarkEnd w:id="77"/>
    <w:bookmarkStart w:id="79"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78">
        <w:r>
          <w:rPr>
            <w:rStyle w:val="Hyperlink"/>
          </w:rPr>
          <w:t xml:space="preserve">https://doi.org/10.1111/ecog.02881</w:t>
        </w:r>
      </w:hyperlink>
    </w:p>
    <w:bookmarkEnd w:id="79"/>
    <w:bookmarkStart w:id="81"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80">
        <w:r>
          <w:rPr>
            <w:rStyle w:val="Hyperlink"/>
          </w:rPr>
          <w:t xml:space="preserve">https://doi.org/10.1016/j.heliyon.2023.e16459</w:t>
        </w:r>
      </w:hyperlink>
    </w:p>
    <w:bookmarkEnd w:id="81"/>
    <w:bookmarkStart w:id="83" w:name="ref-schotten2023"/>
    <w:p>
      <w:pPr>
        <w:pStyle w:val="Bibliography"/>
      </w:pPr>
      <w:r>
        <w:t xml:space="preserve">Schotten, R., &amp; Bachmann, D. (2023).</w:t>
      </w:r>
      <w:r>
        <w:t xml:space="preserve"> </w:t>
      </w:r>
      <w:r>
        <w:t xml:space="preserve">Critical infrastructure network modelling for flood risk analyses: Approach and proof of concept in Accra, Ghana</w:t>
      </w:r>
      <w:r>
        <w:t xml:space="preserve">.</w:t>
      </w:r>
      <w:r>
        <w:t xml:space="preserve"> </w:t>
      </w:r>
      <w:r>
        <w:rPr>
          <w:i/>
          <w:iCs/>
        </w:rPr>
        <w:t xml:space="preserve">Journal of Flood Risk Management</w:t>
      </w:r>
      <w:r>
        <w:t xml:space="preserve">,</w:t>
      </w:r>
      <w:r>
        <w:t xml:space="preserve"> </w:t>
      </w:r>
      <w:r>
        <w:rPr>
          <w:i/>
          <w:iCs/>
        </w:rPr>
        <w:t xml:space="preserve">16</w:t>
      </w:r>
      <w:r>
        <w:t xml:space="preserve">(3), e12913.</w:t>
      </w:r>
      <w:r>
        <w:t xml:space="preserve"> </w:t>
      </w:r>
      <w:hyperlink r:id="rId82">
        <w:r>
          <w:rPr>
            <w:rStyle w:val="Hyperlink"/>
          </w:rPr>
          <w:t xml:space="preserve">https://doi.org/10.1111/jfr3.12913</w:t>
        </w:r>
      </w:hyperlink>
    </w:p>
    <w:bookmarkEnd w:id="83"/>
    <w:bookmarkStart w:id="85"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84">
        <w:r>
          <w:rPr>
            <w:rStyle w:val="Hyperlink"/>
          </w:rPr>
          <w:t xml:space="preserve">https://doi.org/10.1111/jfr3.12770</w:t>
        </w:r>
      </w:hyperlink>
    </w:p>
    <w:bookmarkEnd w:id="85"/>
    <w:bookmarkStart w:id="87"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86">
        <w:r>
          <w:rPr>
            <w:rStyle w:val="Hyperlink"/>
          </w:rPr>
          <w:t xml:space="preserve">https://doi.org/10.1007/s00477-020-01862-5</w:t>
        </w:r>
      </w:hyperlink>
    </w:p>
    <w:bookmarkEnd w:id="87"/>
    <w:bookmarkStart w:id="89"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88">
        <w:r>
          <w:rPr>
            <w:rStyle w:val="Hyperlink"/>
          </w:rPr>
          <w:t xml:space="preserve">https://doi.org/10.1038/s41586-021-03695-w</w:t>
        </w:r>
      </w:hyperlink>
    </w:p>
    <w:bookmarkEnd w:id="89"/>
    <w:bookmarkStart w:id="91"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90">
        <w:r>
          <w:rPr>
            <w:rStyle w:val="Hyperlink"/>
          </w:rPr>
          <w:t xml:space="preserve">https://doi.org/10.1080/01431161.2016.1192304</w:t>
        </w:r>
      </w:hyperlink>
    </w:p>
    <w:bookmarkEnd w:id="91"/>
    <w:bookmarkStart w:id="93"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92">
        <w:r>
          <w:rPr>
            <w:rStyle w:val="Hyperlink"/>
          </w:rPr>
          <w:t xml:space="preserve">https://doi.org/10.3390/rs11131581</w:t>
        </w:r>
      </w:hyperlink>
    </w:p>
    <w:bookmarkEnd w:id="93"/>
    <w:bookmarkStart w:id="95"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94">
        <w:r>
          <w:rPr>
            <w:rStyle w:val="Hyperlink"/>
          </w:rPr>
          <w:t xml:space="preserve">https://un-spider.org/advisory-support/recommended-practices/recommended-practice-google-earth-engine-flood-mapping</w:t>
        </w:r>
      </w:hyperlink>
      <w:r>
        <w:t xml:space="preserve">.</w:t>
      </w:r>
    </w:p>
    <w:bookmarkEnd w:id="95"/>
    <w:bookmarkStart w:id="97"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96">
        <w:r>
          <w:rPr>
            <w:rStyle w:val="Hyperlink"/>
          </w:rPr>
          <w:t xml:space="preserve">https://doi.org/10.1016/j.ecolmodel.2021.109692</w:t>
        </w:r>
      </w:hyperlink>
    </w:p>
    <w:bookmarkEnd w:id="97"/>
    <w:bookmarkStart w:id="99" w:name="ref-waleed2025"/>
    <w:p>
      <w:pPr>
        <w:pStyle w:val="Bibliography"/>
      </w:pPr>
      <w:r>
        <w:t xml:space="preserve">Waleed, M., &amp; Sajjad, M. (2025).</w:t>
      </w:r>
      <w:r>
        <w:t xml:space="preserve"> </w:t>
      </w:r>
      <w:r>
        <w:t xml:space="preserve">Advancing flood susceptibility prediction: A comparative assessment and scalability analysis of machine learning algorithms via artificial intelligence in high-risk regions of Pakistan</w:t>
      </w:r>
      <w:r>
        <w:t xml:space="preserve">.</w:t>
      </w:r>
      <w:r>
        <w:t xml:space="preserve"> </w:t>
      </w:r>
      <w:r>
        <w:rPr>
          <w:i/>
          <w:iCs/>
        </w:rPr>
        <w:t xml:space="preserve">Journal of Flood Risk Management</w:t>
      </w:r>
      <w:r>
        <w:t xml:space="preserve">,</w:t>
      </w:r>
      <w:r>
        <w:t xml:space="preserve"> </w:t>
      </w:r>
      <w:r>
        <w:rPr>
          <w:i/>
          <w:iCs/>
        </w:rPr>
        <w:t xml:space="preserve">18</w:t>
      </w:r>
      <w:r>
        <w:t xml:space="preserve">(1), e13047.</w:t>
      </w:r>
      <w:r>
        <w:t xml:space="preserve"> </w:t>
      </w:r>
      <w:hyperlink r:id="rId98">
        <w:r>
          <w:rPr>
            <w:rStyle w:val="Hyperlink"/>
          </w:rPr>
          <w:t xml:space="preserve">https://doi.org/10.1111/jfr3.13047</w:t>
        </w:r>
      </w:hyperlink>
    </w:p>
    <w:bookmarkEnd w:id="99"/>
    <w:bookmarkStart w:id="101" w:name="ref-wang2023"/>
    <w:p>
      <w:pPr>
        <w:pStyle w:val="Bibliography"/>
      </w:pPr>
      <w:r>
        <w:t xml:space="preserve">Wang, X., Du, A., Hu, F., Liu, Z., Zhang, X., Wang, L., &amp; Guo, H. (2023).</w:t>
      </w:r>
      <w:r>
        <w:t xml:space="preserve"> </w:t>
      </w:r>
      <w:r>
        <w:t xml:space="preserve">Landslide susceptibility evaluation based on active deformation and graph convolutional network algorithm</w:t>
      </w:r>
      <w:r>
        <w:t xml:space="preserve">.</w:t>
      </w:r>
      <w:r>
        <w:t xml:space="preserve"> </w:t>
      </w:r>
      <w:r>
        <w:rPr>
          <w:i/>
          <w:iCs/>
        </w:rPr>
        <w:t xml:space="preserve">Frontiers in Earth Science</w:t>
      </w:r>
      <w:r>
        <w:t xml:space="preserve">,</w:t>
      </w:r>
      <w:r>
        <w:t xml:space="preserve"> </w:t>
      </w:r>
      <w:r>
        <w:rPr>
          <w:i/>
          <w:iCs/>
        </w:rPr>
        <w:t xml:space="preserve">11</w:t>
      </w:r>
      <w:r>
        <w:t xml:space="preserve">, 1132722.</w:t>
      </w:r>
      <w:r>
        <w:t xml:space="preserve"> </w:t>
      </w:r>
      <w:hyperlink r:id="rId100">
        <w:r>
          <w:rPr>
            <w:rStyle w:val="Hyperlink"/>
          </w:rPr>
          <w:t xml:space="preserve">https://doi.org/10.3389/feart.2023.1132722</w:t>
        </w:r>
      </w:hyperlink>
    </w:p>
    <w:bookmarkEnd w:id="101"/>
    <w:bookmarkStart w:id="103" w:name="ref-williams2025"/>
    <w:p>
      <w:pPr>
        <w:pStyle w:val="Bibliography"/>
      </w:pPr>
      <w:r>
        <w:t xml:space="preserve">Williams, J. H., Vu, H. N., Paulik, R., Zorn, C., &amp; Wotherspoon, L. (2025).</w:t>
      </w:r>
      <w:r>
        <w:t xml:space="preserve"> </w:t>
      </w:r>
      <w:r>
        <w:t xml:space="preserve">Expert-Derived Flood Damage Curves for Critical Infrastructure Network Components</w:t>
      </w:r>
      <w:r>
        <w:t xml:space="preserve">.</w:t>
      </w:r>
      <w:r>
        <w:t xml:space="preserve"> </w:t>
      </w:r>
      <w:r>
        <w:rPr>
          <w:i/>
          <w:iCs/>
        </w:rPr>
        <w:t xml:space="preserve">Journal of Flood Risk Management</w:t>
      </w:r>
      <w:r>
        <w:t xml:space="preserve">,</w:t>
      </w:r>
      <w:r>
        <w:t xml:space="preserve"> </w:t>
      </w:r>
      <w:r>
        <w:rPr>
          <w:i/>
          <w:iCs/>
        </w:rPr>
        <w:t xml:space="preserve">18</w:t>
      </w:r>
      <w:r>
        <w:t xml:space="preserve">(2), e70045.</w:t>
      </w:r>
      <w:r>
        <w:t xml:space="preserve"> </w:t>
      </w:r>
      <w:hyperlink r:id="rId102">
        <w:r>
          <w:rPr>
            <w:rStyle w:val="Hyperlink"/>
          </w:rPr>
          <w:t xml:space="preserve">https://doi.org/10.1111/jfr3.70045</w:t>
        </w:r>
      </w:hyperlink>
    </w:p>
    <w:bookmarkEnd w:id="103"/>
    <w:bookmarkStart w:id="105"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04">
        <w:r>
          <w:rPr>
            <w:rStyle w:val="Hyperlink"/>
          </w:rPr>
          <w:t xml:space="preserve">https://doi.org/10.1145/775047.775151</w:t>
        </w:r>
      </w:hyperlink>
    </w:p>
    <w:bookmarkEnd w:id="105"/>
    <w:bookmarkStart w:id="107"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06">
        <w:r>
          <w:rPr>
            <w:rStyle w:val="Hyperlink"/>
          </w:rPr>
          <w:t xml:space="preserve">https://doi.org/10.1111/jfr3.12715</w:t>
        </w:r>
      </w:hyperlink>
    </w:p>
    <w:bookmarkEnd w:id="107"/>
    <w:bookmarkEnd w:id="108"/>
    <w:bookmarkEnd w:id="109"/>
    <w:bookmarkStart w:id="117" w:name="tables"/>
    <w:p>
      <w:pPr>
        <w:pStyle w:val="Heading1"/>
      </w:pPr>
      <w:r>
        <w:t xml:space="preserve">Tables</w:t>
      </w:r>
    </w:p>
    <w:bookmarkStart w:id="110"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10"/>
    <w:bookmarkStart w:id="111" w:name="tab:regions"/>
    <w:p>
      <w:pPr>
        <w:pStyle w:val="TableCaption"/>
      </w:pPr>
      <w:r>
        <w:t xml:space="preserve">Table 2. Configured study regions.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bl>
    <w:bookmarkEnd w:id="111"/>
    <w:bookmarkStart w:id="112"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12"/>
    <w:bookmarkStart w:id="113"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situation reports,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situation reports,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bl>
    <w:bookmarkEnd w:id="113"/>
    <w:bookmarkStart w:id="114" w:name="tab:validation"/>
    <w:p>
      <w:pPr>
        <w:pStyle w:val="TableCaption"/>
      </w:pPr>
      <w:r>
        <w:t xml:space="preserve">Table 5. Validation on held-out 10 km test blocks, for the single block assignment behind the published outputs. Positive rate is the share of assets on ground the radar saw flood in the required number of events. The Brier score is that of the raw class-weighted scores, and the calibrated probabilities are reported in Section 4.4. Means over repeated assignments, lower in the riverine regions and higher on the coast, are in Table 7.</w:t>
      </w:r>
    </w:p>
    <w:tbl>
      <w:tblPr>
        <w:tblStyle w:val="Table"/>
        <w:tblW w:type="auto" w:w="0"/>
        <w:tblLook w:firstRow="1" w:lastRow="0" w:firstColumn="0" w:lastColumn="0" w:noHBand="0" w:noVBand="0" w:val="0020"/>
        <w:tblCaption w:val="Table 5. Validation on held-out 10 km test blocks, for the single block assignment behind the published outputs. Positive rate is the share of assets on ground the radar saw flood in the required number of events. The Brier score is that of the raw class-weighted scores, and the calibrated probabilities are reported in Section 4.4. Means over repeated assignments, lower in the riverine regions and higher on the coast, are in Table 7."/>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14"/>
    <w:bookmarkStart w:id="115"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bl>
    <w:bookmarkEnd w:id="115"/>
    <w:bookmarkStart w:id="116" w:name="tab:benchmark"/>
    <w:p>
      <w:pPr>
        <w:pStyle w:val="TableCaption"/>
      </w:pPr>
      <w:r>
        <w:t xml:space="preserve">Table 7.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7.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w:r>
              <w:t xml:space="preserve">-0.028</w:t>
            </w:r>
          </w:p>
        </w:tc>
        <w:tc>
          <w:tcPr/>
          <w:p>
            <w:pPr>
              <w:pStyle w:val="Compact"/>
              <w:jc w:val="center"/>
            </w:pPr>
            <w:r>
              <w:t xml:space="preserve">-0.003</w:t>
            </w:r>
          </w:p>
        </w:tc>
        <w:tc>
          <w:tcPr/>
          <w:p>
            <w:pPr>
              <w:pStyle w:val="Compact"/>
              <w:jc w:val="center"/>
            </w:pPr>
            <w:r>
              <w:t xml:space="preserve">-0.022</w:t>
            </w:r>
          </w:p>
        </w:tc>
      </w:tr>
    </w:tbl>
    <w:bookmarkEnd w:id="116"/>
    <w:bookmarkEnd w:id="117"/>
    <w:bookmarkStart w:id="118"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Mean infrastructure composite risk of each union in the three flood regions, in five relative classes by quintile of the unions scored in each region. Unions without mapped assets carry no score and are shaded as missing data, not as low risk. On the south-west coast the hazard term is close to chance against observed flooding (Section 5), so that panel reflects mapped exposure and vulnerability more than flood hazard.</w:t>
      </w:r>
    </w:p>
    <w:p>
      <w:pPr>
        <w:pStyle w:val="BodyText"/>
      </w:pPr>
      <w:r>
        <w:rPr>
          <w:b/>
          <w:bCs/>
        </w:rPr>
        <w:t xml:space="preserve">Figure 4.</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5.</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6.</w:t>
      </w:r>
      <w:r>
        <w:t xml:space="preserve"> </w:t>
      </w:r>
      <w:r>
        <w:t xml:space="preserve">AUC of each model on the held-out test blocks, one circle per block assignment and a vertical bar at the mean. The graph network is in blue, the other models in orange, and the dotted line marks a random ranking. The graph network sits inside the range of the ordinary models in every region.</w:t>
      </w:r>
    </w:p>
    <w:p>
      <w:pPr>
        <w:pStyle w:val="BodyText"/>
      </w:pPr>
      <w:r>
        <w:rPr>
          <w:b/>
          <w:bCs/>
        </w:rPr>
        <w:t xml:space="preserve">Figure 7.</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https://arxiv.org/abs/1706.02216" TargetMode="External" /><Relationship Type="http://schemas.openxmlformats.org/officeDocument/2006/relationships/hyperlink" Id="rId86" Target="https://doi.org/10.1007/s00477-020-01862-5" TargetMode="External" /><Relationship Type="http://schemas.openxmlformats.org/officeDocument/2006/relationships/hyperlink" Id="rId66" Target="https://doi.org/10.1016/j.catena.2025.109029" TargetMode="External" /><Relationship Type="http://schemas.openxmlformats.org/officeDocument/2006/relationships/hyperlink" Id="rId96" Target="https://doi.org/10.1016/j.ecolmodel.2021.109692" TargetMode="External" /><Relationship Type="http://schemas.openxmlformats.org/officeDocument/2006/relationships/hyperlink" Id="rId62" Target="https://doi.org/10.1016/j.envc.2023.100833" TargetMode="External" /><Relationship Type="http://schemas.openxmlformats.org/officeDocument/2006/relationships/hyperlink" Id="rId60" Target="https://doi.org/10.1016/j.gsf.2020.09.006" TargetMode="External" /><Relationship Type="http://schemas.openxmlformats.org/officeDocument/2006/relationships/hyperlink" Id="rId80" Target="https://doi.org/10.1016/j.heliyon.2023.e16459" TargetMode="External" /><Relationship Type="http://schemas.openxmlformats.org/officeDocument/2006/relationships/hyperlink" Id="rId44" Target="https://doi.org/10.1016/j.jenvman.2022.116813" TargetMode="External" /><Relationship Type="http://schemas.openxmlformats.org/officeDocument/2006/relationships/hyperlink" Id="rId70" Target="https://doi.org/10.1016/j.jhydrol.2011.03.051" TargetMode="External" /><Relationship Type="http://schemas.openxmlformats.org/officeDocument/2006/relationships/hyperlink" Id="rId72" Target="https://doi.org/10.1038/nature20584" TargetMode="External" /><Relationship Type="http://schemas.openxmlformats.org/officeDocument/2006/relationships/hyperlink" Id="rId64" Target="https://doi.org/10.1038/s41467-019-10442-3" TargetMode="External" /><Relationship Type="http://schemas.openxmlformats.org/officeDocument/2006/relationships/hyperlink" Id="rId74" Target="https://doi.org/10.1038/s41467-020-18321-y" TargetMode="External" /><Relationship Type="http://schemas.openxmlformats.org/officeDocument/2006/relationships/hyperlink" Id="rId58" Target="https://doi.org/10.1038/s41467-023-39698-6" TargetMode="External" /><Relationship Type="http://schemas.openxmlformats.org/officeDocument/2006/relationships/hyperlink" Id="rId88" Target="https://doi.org/10.1038/s41586-021-03695-w" TargetMode="External" /><Relationship Type="http://schemas.openxmlformats.org/officeDocument/2006/relationships/hyperlink" Id="rId90" Target="https://doi.org/10.1080/01431161.2016.1192304" TargetMode="External" /><Relationship Type="http://schemas.openxmlformats.org/officeDocument/2006/relationships/hyperlink" Id="rId50" Target="https://doi.org/10.1080/02626667909491834" TargetMode="External" /><Relationship Type="http://schemas.openxmlformats.org/officeDocument/2006/relationships/hyperlink" Id="rId78" Target="https://doi.org/10.1111/ecog.02881" TargetMode="External" /><Relationship Type="http://schemas.openxmlformats.org/officeDocument/2006/relationships/hyperlink" Id="rId106" Target="https://doi.org/10.1111/jfr3.12715" TargetMode="External" /><Relationship Type="http://schemas.openxmlformats.org/officeDocument/2006/relationships/hyperlink" Id="rId84" Target="https://doi.org/10.1111/jfr3.12770" TargetMode="External" /><Relationship Type="http://schemas.openxmlformats.org/officeDocument/2006/relationships/hyperlink" Id="rId82" Target="https://doi.org/10.1111/jfr3.12913" TargetMode="External" /><Relationship Type="http://schemas.openxmlformats.org/officeDocument/2006/relationships/hyperlink" Id="rId98" Target="https://doi.org/10.1111/jfr3.13047" TargetMode="External" /><Relationship Type="http://schemas.openxmlformats.org/officeDocument/2006/relationships/hyperlink" Id="rId102" Target="https://doi.org/10.1111/jfr3.70045" TargetMode="External" /><Relationship Type="http://schemas.openxmlformats.org/officeDocument/2006/relationships/hyperlink" Id="rId76" Target="https://doi.org/10.1111/jfr3.70089" TargetMode="External" /><Relationship Type="http://schemas.openxmlformats.org/officeDocument/2006/relationships/hyperlink" Id="rId52" Target="https://doi.org/10.1111/jfr3.70201" TargetMode="External" /><Relationship Type="http://schemas.openxmlformats.org/officeDocument/2006/relationships/hyperlink" Id="rId68" Target="https://doi.org/10.1145/1102351.1102430" TargetMode="External" /><Relationship Type="http://schemas.openxmlformats.org/officeDocument/2006/relationships/hyperlink" Id="rId104" Target="https://doi.org/10.1145/775047.775151" TargetMode="External" /><Relationship Type="http://schemas.openxmlformats.org/officeDocument/2006/relationships/hyperlink" Id="rId54" Target="https://doi.org/10.2760/094023" TargetMode="External" /><Relationship Type="http://schemas.openxmlformats.org/officeDocument/2006/relationships/hyperlink" Id="rId100" Target="https://doi.org/10.3389/feart.2023.1132722" TargetMode="External" /><Relationship Type="http://schemas.openxmlformats.org/officeDocument/2006/relationships/hyperlink" Id="rId92" Target="https://doi.org/10.3390/rs11131581" TargetMode="External" /><Relationship Type="http://schemas.openxmlformats.org/officeDocument/2006/relationships/hyperlink" Id="rId46" Target="https://doi.org/10.3390/rs16040656" TargetMode="External" /><Relationship Type="http://schemas.openxmlformats.org/officeDocument/2006/relationships/hyperlink" Id="rId48" Target="https://doi.org/10.5194/hess-26-4345-2022" TargetMode="External" /><Relationship Type="http://schemas.openxmlformats.org/officeDocument/2006/relationships/hyperlink" Id="rId39" Target="https://doi.org/10.5281/zenodo.23108572" TargetMode="External" /><Relationship Type="http://schemas.openxmlformats.org/officeDocument/2006/relationships/hyperlink" Id="rId41" Target="https://fermium.systems/hazmapper" TargetMode="External" /><Relationship Type="http://schemas.openxmlformats.org/officeDocument/2006/relationships/hyperlink" Id="rId40" Target="https://github.com/rakibhhridoy/rimes-mapathon" TargetMode="External" /><Relationship Type="http://schemas.openxmlformats.org/officeDocument/2006/relationships/hyperlink" Id="rId94" Target="https://un-spider.org/advisory-support/recommended-practices/recommended-practice-google-earth-engine-flood-mapping" TargetMode="External" /></Relationships>
</file>

<file path=word/_rels/footnotes.xml.rels><?xml version="1.0" encoding="UTF-8"?><Relationships xmlns="http://schemas.openxmlformats.org/package/2006/relationships"><Relationship Type="http://schemas.openxmlformats.org/officeDocument/2006/relationships/hyperlink" Id="rId56" Target="https://arxiv.org/abs/1706.02216" TargetMode="External" /><Relationship Type="http://schemas.openxmlformats.org/officeDocument/2006/relationships/hyperlink" Id="rId86" Target="https://doi.org/10.1007/s00477-020-01862-5" TargetMode="External" /><Relationship Type="http://schemas.openxmlformats.org/officeDocument/2006/relationships/hyperlink" Id="rId66" Target="https://doi.org/10.1016/j.catena.2025.109029" TargetMode="External" /><Relationship Type="http://schemas.openxmlformats.org/officeDocument/2006/relationships/hyperlink" Id="rId96" Target="https://doi.org/10.1016/j.ecolmodel.2021.109692" TargetMode="External" /><Relationship Type="http://schemas.openxmlformats.org/officeDocument/2006/relationships/hyperlink" Id="rId62" Target="https://doi.org/10.1016/j.envc.2023.100833" TargetMode="External" /><Relationship Type="http://schemas.openxmlformats.org/officeDocument/2006/relationships/hyperlink" Id="rId60" Target="https://doi.org/10.1016/j.gsf.2020.09.006" TargetMode="External" /><Relationship Type="http://schemas.openxmlformats.org/officeDocument/2006/relationships/hyperlink" Id="rId80" Target="https://doi.org/10.1016/j.heliyon.2023.e16459" TargetMode="External" /><Relationship Type="http://schemas.openxmlformats.org/officeDocument/2006/relationships/hyperlink" Id="rId44" Target="https://doi.org/10.1016/j.jenvman.2022.116813" TargetMode="External" /><Relationship Type="http://schemas.openxmlformats.org/officeDocument/2006/relationships/hyperlink" Id="rId70" Target="https://doi.org/10.1016/j.jhydrol.2011.03.051" TargetMode="External" /><Relationship Type="http://schemas.openxmlformats.org/officeDocument/2006/relationships/hyperlink" Id="rId72" Target="https://doi.org/10.1038/nature20584" TargetMode="External" /><Relationship Type="http://schemas.openxmlformats.org/officeDocument/2006/relationships/hyperlink" Id="rId64" Target="https://doi.org/10.1038/s41467-019-10442-3" TargetMode="External" /><Relationship Type="http://schemas.openxmlformats.org/officeDocument/2006/relationships/hyperlink" Id="rId74" Target="https://doi.org/10.1038/s41467-020-18321-y" TargetMode="External" /><Relationship Type="http://schemas.openxmlformats.org/officeDocument/2006/relationships/hyperlink" Id="rId58" Target="https://doi.org/10.1038/s41467-023-39698-6" TargetMode="External" /><Relationship Type="http://schemas.openxmlformats.org/officeDocument/2006/relationships/hyperlink" Id="rId88" Target="https://doi.org/10.1038/s41586-021-03695-w" TargetMode="External" /><Relationship Type="http://schemas.openxmlformats.org/officeDocument/2006/relationships/hyperlink" Id="rId90" Target="https://doi.org/10.1080/01431161.2016.1192304" TargetMode="External" /><Relationship Type="http://schemas.openxmlformats.org/officeDocument/2006/relationships/hyperlink" Id="rId50" Target="https://doi.org/10.1080/02626667909491834" TargetMode="External" /><Relationship Type="http://schemas.openxmlformats.org/officeDocument/2006/relationships/hyperlink" Id="rId78" Target="https://doi.org/10.1111/ecog.02881" TargetMode="External" /><Relationship Type="http://schemas.openxmlformats.org/officeDocument/2006/relationships/hyperlink" Id="rId106" Target="https://doi.org/10.1111/jfr3.12715" TargetMode="External" /><Relationship Type="http://schemas.openxmlformats.org/officeDocument/2006/relationships/hyperlink" Id="rId84" Target="https://doi.org/10.1111/jfr3.12770" TargetMode="External" /><Relationship Type="http://schemas.openxmlformats.org/officeDocument/2006/relationships/hyperlink" Id="rId82" Target="https://doi.org/10.1111/jfr3.12913" TargetMode="External" /><Relationship Type="http://schemas.openxmlformats.org/officeDocument/2006/relationships/hyperlink" Id="rId98" Target="https://doi.org/10.1111/jfr3.13047" TargetMode="External" /><Relationship Type="http://schemas.openxmlformats.org/officeDocument/2006/relationships/hyperlink" Id="rId102" Target="https://doi.org/10.1111/jfr3.70045" TargetMode="External" /><Relationship Type="http://schemas.openxmlformats.org/officeDocument/2006/relationships/hyperlink" Id="rId76" Target="https://doi.org/10.1111/jfr3.70089" TargetMode="External" /><Relationship Type="http://schemas.openxmlformats.org/officeDocument/2006/relationships/hyperlink" Id="rId52" Target="https://doi.org/10.1111/jfr3.70201" TargetMode="External" /><Relationship Type="http://schemas.openxmlformats.org/officeDocument/2006/relationships/hyperlink" Id="rId68" Target="https://doi.org/10.1145/1102351.1102430" TargetMode="External" /><Relationship Type="http://schemas.openxmlformats.org/officeDocument/2006/relationships/hyperlink" Id="rId104" Target="https://doi.org/10.1145/775047.775151" TargetMode="External" /><Relationship Type="http://schemas.openxmlformats.org/officeDocument/2006/relationships/hyperlink" Id="rId54" Target="https://doi.org/10.2760/094023" TargetMode="External" /><Relationship Type="http://schemas.openxmlformats.org/officeDocument/2006/relationships/hyperlink" Id="rId100" Target="https://doi.org/10.3389/feart.2023.1132722" TargetMode="External" /><Relationship Type="http://schemas.openxmlformats.org/officeDocument/2006/relationships/hyperlink" Id="rId92" Target="https://doi.org/10.3390/rs11131581" TargetMode="External" /><Relationship Type="http://schemas.openxmlformats.org/officeDocument/2006/relationships/hyperlink" Id="rId46" Target="https://doi.org/10.3390/rs16040656" TargetMode="External" /><Relationship Type="http://schemas.openxmlformats.org/officeDocument/2006/relationships/hyperlink" Id="rId48" Target="https://doi.org/10.5194/hess-26-4345-2022" TargetMode="External" /><Relationship Type="http://schemas.openxmlformats.org/officeDocument/2006/relationships/hyperlink" Id="rId39" Target="https://doi.org/10.5281/zenodo.23108572" TargetMode="External" /><Relationship Type="http://schemas.openxmlformats.org/officeDocument/2006/relationships/hyperlink" Id="rId41" Target="https://fermium.systems/hazmapper" TargetMode="External" /><Relationship Type="http://schemas.openxmlformats.org/officeDocument/2006/relationships/hyperlink" Id="rId40" Target="https://github.com/rakibhhridoy/rimes-mapathon" TargetMode="External" /><Relationship Type="http://schemas.openxmlformats.org/officeDocument/2006/relationships/hyperlink" Id="rId94" Target="https://un-spider.org/advisory-support/recommended-practices/recommended-practice-google-earth-engine-flood-mapp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2026-10-03T12:24:14Z</dcterms:created>
  <dcterms:modified xsi:type="dcterms:W3CDTF">2026-10-03T12:24:14Z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