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https://doi.org/10.5281/zenodo.23108572. A Supporting Information file gives the full pipeline settings and a sensitivity analysis of the risk weights.</w:t>
      </w:r>
    </w:p>
    <w:p>
      <w:pPr>
        <w:pStyle w:val="BodyText"/>
      </w:pPr>
      <w:r>
        <w:t xml:space="preserve">The main text runs to about 5,800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2026-10-03T12:43:48Z</dcterms:created>
  <dcterms:modified xsi:type="dcterms:W3CDTF">2026-10-03T12:43:48Z</dcterms:modified>
</cp:coreProperties>
</file>

<file path=docProps/custom.xml><?xml version="1.0" encoding="utf-8"?>
<Properties xmlns="http://schemas.openxmlformats.org/officeDocument/2006/custom-properties" xmlns:vt="http://schemas.openxmlformats.org/officeDocument/2006/docPropsVTypes"/>
</file>