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although in Sylhet the gap closed when the model learned the same target as the test. In Rangpur and Rajshahi the record’s lead survived every check the manuscript applies, including masks re-mapped from a single satellite and wider validation blocks.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 although that lead fell within noise with wider validation blocks, while the riverine result grew stronger.</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https://doi.org/10.5281/zenodo.23130732. A Supporting Information file gives the full pipeline settings and a sensitivity analysis of the risk weights.</w:t>
      </w:r>
    </w:p>
    <w:p>
      <w:pPr>
        <w:pStyle w:val="BodyText"/>
      </w:pPr>
      <w:r>
        <w:t xml:space="preserve">The main text runs to about 5,700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2026-10-06T07:43:54Z</dcterms:created>
  <dcterms:modified xsi:type="dcterms:W3CDTF">2026-10-06T07:43:54Z</dcterms:modified>
</cp:coreProperties>
</file>

<file path=docProps/custom.xml><?xml version="1.0" encoding="utf-8"?>
<Properties xmlns="http://schemas.openxmlformats.org/officeDocument/2006/custom-properties" xmlns:vt="http://schemas.openxmlformats.org/officeDocument/2006/docPropsVTypes"/>
</file>