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0b935b031fc3d589964603713bf844fc60db52"/>
    <w:p>
      <w:pPr>
        <w:pStyle w:val="Heading1"/>
      </w:pPr>
      <w:r>
        <w:t xml:space="preserve">Do flood susceptibility models know more than the flood record? Evidence from radar-observed floods in Bangladesh</w:t>
      </w:r>
    </w:p>
    <w:bookmarkEnd w:id="9"/>
    <w:bookmarkStart w:id="10" w:name="abstract"/>
    <w:p>
      <w:pPr>
        <w:pStyle w:val="Heading1"/>
      </w:pPr>
      <w:r>
        <w:t xml:space="preserve">Abstract</w:t>
      </w:r>
    </w:p>
    <w:p>
      <w:pPr>
        <w:pStyle w:val="FirstParagraph"/>
      </w:pPr>
      <w:r>
        <w:t xml:space="preserve">Flood susceptibility maps are judged by how well they rank the ground that floods, yet they are rarely compared with the simplest alternative, the record of where floods have already been. This study makes that comparison for infrastructure mapped in OpenStreetMap in three regions of Bangladesh, with flood extents mapped from Sentinel-1 radar for thirteen events as labels and reference and every model scored on 10 km blocks held out from training. Trained on floods up to 2022, a gradient-boosted model ranked the ground the 2024 river floods reached in Rangpur and Rajshahi at an AUC of 0.801, below the record of earlier flooding at 0.896, and the record kept its lead with masks re-mapped from a single satellite, with two other training targets and with 40 km blocks. Given the record as a feature, the model beat both, at 0.924, by ranking the ground no earlier flood had reached. In the Sylhet haor the record’s lead, 0.851 against 0.797, closed when the model learned the same target as the test, and on the cyclone-struck coast, where most flooded assets stood on ground no earlier cyclone had reached, the model’s lead did not survive wider blocks. The record was therefore the stronger guide where floods returned to the same ground. Radar-observed extents also made better training labels than terrain thresholds, by 0.101, 0.087 and 0.080 in AUC on held-out areas, a graph neural network added nothing over tabular models, and elevation carried almost all of the terrain signal. The radar masks agreed only moderately with an independent MODIS map, so every score measures agreement with flooding as radar sees it. Susceptibility studies with a radar flood history should report that record as a baseline.</w:t>
      </w:r>
    </w:p>
    <w:p>
      <w:pPr>
        <w:pStyle w:val="BodyText"/>
      </w:pPr>
      <w:r>
        <w:rPr>
          <w:b/>
          <w:bCs/>
        </w:rPr>
        <w:t xml:space="preserve">Keywords:</w:t>
      </w:r>
      <w:r>
        <w:t xml:space="preserve"> </w:t>
      </w:r>
      <w:r>
        <w:t xml:space="preserve">flood susceptibility; Sentinel-1; spatial cross-validation; temporal validation; gradient boosting; graph neural network; Bangladesh</w:t>
      </w:r>
    </w:p>
    <w:bookmarkEnd w:id="10"/>
    <w:bookmarkStart w:id="11"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a baseline that susceptibility studies rarely report, which is the map of where water has already been. Graph neural networks, which pass information between neighbouring locations, have meanwhile entered hazard mapping</w:t>
      </w:r>
      <w:r>
        <w:t xml:space="preserve"> </w:t>
      </w:r>
      <w:r>
        <w:t xml:space="preserve">(Ma et al., 2025; X. Wang et al., 2023)</w:t>
      </w:r>
      <w:r>
        <w:t xml:space="preserve"> </w:t>
      </w:r>
      <w:r>
        <w:t xml:space="preserve">on the appeal that a road or embankment floods together with its neighbours, although whether that structure adds anything over an ordinary tabular model has seldom been tested on identical data.</w:t>
      </w:r>
    </w:p>
    <w:p>
      <w:pPr>
        <w:pStyle w:val="BodyText"/>
      </w:pPr>
      <w:r>
        <w:t xml:space="preserve">This study asks three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a model anticipates a later flood better than the record of earlier ones. The second is whether radar-observed flood extents make better training labels than terrain thresholds for ground a model has not seen, and the third, more briefly, is whether a graph neural network outperforms ordinary tabular models given the same features and blocks. The flood hazard is then combined with exposure and vulnerability on a 500 m grid, and the maps, data and code are released openly.</w:t>
      </w:r>
    </w:p>
    <w:bookmarkEnd w:id="11"/>
    <w:bookmarkStart w:id="15" w:name="sec:related"/>
    <w:p>
      <w:pPr>
        <w:pStyle w:val="Heading1"/>
      </w:pPr>
      <w:r>
        <w:rPr>
          <w:rStyle w:val="SectionNumber"/>
        </w:rPr>
        <w:t xml:space="preserve">2</w:t>
      </w:r>
      <w:r>
        <w:tab/>
      </w:r>
      <w:r>
        <w:t xml:space="preserve">Related work</w:t>
      </w:r>
    </w:p>
    <w:bookmarkStart w:id="12"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and none holds out whole areas.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Multi-criteria hazard maps built from similar terrain factors, including TWI and HAND, reached validation scores of 0.77–0.79 in the Sangu basin and placed 39 % of roads and 25 % of education buildings in the highest hazard class</w:t>
      </w:r>
      <w:r>
        <w:t xml:space="preserve"> </w:t>
      </w:r>
      <w:r>
        <w:t xml:space="preserve">(Zzaman et al., 2021)</w:t>
      </w:r>
      <w:r>
        <w:t xml:space="preserve">, which shows why the exposure of infrastructure matters to planners.</w:t>
      </w:r>
    </w:p>
    <w:bookmarkEnd w:id="12"/>
    <w:bookmarkStart w:id="13"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and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Splitting by time, training on past events and testing on later ones, has long been standard for landslides</w:t>
      </w:r>
      <w:r>
        <w:t xml:space="preserve"> </w:t>
      </w:r>
      <w:r>
        <w:t xml:space="preserve">(Chung &amp; Fabbri, 2003; Guzzetti et al., 2006)</w:t>
      </w:r>
      <w:r>
        <w:t xml:space="preserve">, but among the Bangladesh flood studies only one map has been tested on later floods, a multi-criteria map of Sylhet scored against the floods of June 2022 and June 2024</w:t>
      </w:r>
      <w:r>
        <w:t xml:space="preserve"> </w:t>
      </w:r>
      <w:r>
        <w:t xml:space="preserve">(Swarup &amp; Nury, 2026)</w:t>
      </w:r>
      <w:r>
        <w:t xml:space="preserve">, and none has been set against the record of earlier floods. Where records and models have been compared, it was as hazard maps, with satellite records showing less frequent flooding than global flood models predict</w:t>
      </w:r>
      <w:r>
        <w:t xml:space="preserve"> </w:t>
      </w:r>
      <w:r>
        <w:t xml:space="preserve">(Hawker et al., 2020)</w:t>
      </w:r>
      <w:r>
        <w:t xml:space="preserve">. Such records already exist for Bangladesh, as a national Sentinel-1 flood-frequency map</w:t>
      </w:r>
      <w:r>
        <w:t xml:space="preserve"> </w:t>
      </w:r>
      <w:r>
        <w:t xml:space="preserve">(Haghighi, 2022)</w:t>
      </w:r>
      <w:r>
        <w:t xml:space="preserve">, a weekly inundation series built for flood insurance</w:t>
      </w:r>
      <w:r>
        <w:t xml:space="preserve"> </w:t>
      </w:r>
      <w:r>
        <w:t xml:space="preserve">(Thomas et al., 2023)</w:t>
      </w:r>
      <w:r>
        <w:t xml:space="preserve"> </w:t>
      </w:r>
      <w:r>
        <w:t xml:space="preserve">and a two-decade reconstruction</w:t>
      </w:r>
      <w:r>
        <w:t xml:space="preserve"> </w:t>
      </w:r>
      <w:r>
        <w:t xml:space="preserve">(Giezendanner et al., 2023)</w:t>
      </w:r>
      <w:r>
        <w:t xml:space="preserve">. The effect can be large, since a forest-biomass model that explained more than half the variance under random validation showed almost no skill under spatial validation</w:t>
      </w:r>
      <w:r>
        <w:t xml:space="preserve"> </w:t>
      </w:r>
      <w:r>
        <w:t xml:space="preserve">(Ploton et al., 2020)</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none of the Bangladesh studies read in full reports calibrated probabilities.</w:t>
      </w:r>
    </w:p>
    <w:bookmarkEnd w:id="13"/>
    <w:bookmarkStart w:id="14" w:name="graphs-interpolation-and-composite-risk"/>
    <w:p>
      <w:pPr>
        <w:pStyle w:val="Heading2"/>
      </w:pPr>
      <w:r>
        <w:rPr>
          <w:rStyle w:val="SectionNumber"/>
        </w:rPr>
        <w:t xml:space="preserve">2.3</w:t>
      </w:r>
      <w:r>
        <w:tab/>
      </w:r>
      <w:r>
        <w:t xml:space="preserve">Graphs, interpolation and composite risk</w:t>
      </w:r>
    </w:p>
    <w:p>
      <w:pPr>
        <w:pStyle w:val="FirstParagraph"/>
      </w:pPr>
      <w:r>
        <w:t xml:space="preserve">Comparisons of many learning models are common in susceptibility mapping, and among 14 models for flood-prone areas of Pakistan boosted trees ranked first</w:t>
      </w:r>
      <w:r>
        <w:t xml:space="preserve"> </w:t>
      </w:r>
      <w:r>
        <w:t xml:space="preserve">(Waleed &amp; Sajjad, 2025)</w:t>
      </w:r>
      <w:r>
        <w:t xml:space="preserve">. Graph neural networks learn from a node’s neighbours and, in the inductive form used here, generalise to nodes unseen in training</w:t>
      </w:r>
      <w:r>
        <w:t xml:space="preserve"> </w:t>
      </w:r>
      <w:r>
        <w:t xml:space="preserve">(Hamilton et al., 2017)</w:t>
      </w:r>
      <w:r>
        <w:t xml:space="preserve">. In hazard mapping they appeared first for landslides</w:t>
      </w:r>
      <w:r>
        <w:t xml:space="preserve"> </w:t>
      </w:r>
      <w:r>
        <w:t xml:space="preserve">(Ma et al., 2025; X. Wang et al., 2023)</w:t>
      </w:r>
      <w:r>
        <w:t xml:space="preserve"> </w:t>
      </w:r>
      <w:r>
        <w:t xml:space="preserve">and have since been applied to flood susceptibility on graphs of urban cells</w:t>
      </w:r>
      <w:r>
        <w:t xml:space="preserve"> </w:t>
      </w:r>
      <w:r>
        <w:t xml:space="preserve">(Z. Wang et al., 2023)</w:t>
      </w:r>
      <w:r>
        <w:t xml:space="preserve"> </w:t>
      </w:r>
      <w:r>
        <w:t xml:space="preserve">and of catchments linked by their topology</w:t>
      </w:r>
      <w:r>
        <w:t xml:space="preserve"> </w:t>
      </w:r>
      <w:r>
        <w:t xml:space="preserve">(Liu et al., 2026)</w:t>
      </w:r>
      <w:r>
        <w:t xml:space="preserve">, and a preprint reported a gain of 0.097 in AUC over the best tabular model on sub-watersheds linked by river connectivity</w:t>
      </w:r>
      <w:r>
        <w:t xml:space="preserve"> </w:t>
      </w:r>
      <w:r>
        <w:t xml:space="preserve">(Sharma &amp; Sharma, 2026)</w:t>
      </w:r>
      <w:r>
        <w:t xml:space="preserve">. A review of 58 deep-learning flood studies found convolutional models usually the more accurate</w:t>
      </w:r>
      <w:r>
        <w:t xml:space="preserve"> </w:t>
      </w:r>
      <w:r>
        <w:t xml:space="preserve">(Bentivoglio et al., 2022)</w:t>
      </w:r>
      <w:r>
        <w:t xml:space="preserve">, and the searches made for this review found no graph model of the flood susceptibility of mapped infrastructure, nor one that links assets by proximity rather than by the flow of water. Composite indices such as INFORM combine hazard, exposure and vulnerability by geometric mean</w:t>
      </w:r>
      <w:r>
        <w:t xml:space="preserve"> </w:t>
      </w:r>
      <w:r>
        <w:t xml:space="preserve">(European Commission Joint Research Centre, 2017)</w:t>
      </w:r>
      <w:r>
        <w:t xml:space="preserve">, and the same aggregation is used here, with exposure counted asset by asset as</w:t>
      </w:r>
      <w:r>
        <w:t xml:space="preserve"> </w:t>
      </w:r>
      <w:r>
        <w:t xml:space="preserve">Koks et al. (2019)</w:t>
      </w:r>
      <w:r>
        <w:t xml:space="preserve"> </w:t>
      </w:r>
      <w:r>
        <w:t xml:space="preserve">did globally. That exposure depends on OpenStreetMap, whose building completeness exceeds 80 % in some cities but falls below 20 % in cities holding 48 % of the world’s urban population</w:t>
      </w:r>
      <w:r>
        <w:t xml:space="preserve"> </w:t>
      </w:r>
      <w:r>
        <w:t xml:space="preserve">(Herfort et al., 2023)</w:t>
      </w:r>
      <w:r>
        <w:t xml:space="preserve">, and whose completeness across rural Bangladesh has not been measured.</w:t>
      </w:r>
    </w:p>
    <w:bookmarkEnd w:id="14"/>
    <w:bookmarkEnd w:id="15"/>
    <w:bookmarkStart w:id="16"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The regions differ in how water arrives.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Every dataset the pipeline ingests is openly licensed (Table 3). Administrative boundaries come from geoBoundaries, which unlike GADM may be redistributed and carries the union level for Bangladesh. OpenStreetMap coverage is uneven, so an area with few mapped assets shows low exposure whether or not much stands there, and WorldPop’s constrained product carries population only where buildings were detected in imagery.</w:t>
      </w:r>
    </w:p>
    <w:bookmarkEnd w:id="16"/>
    <w:bookmarkStart w:id="24" w:name="sec:chain"/>
    <w:p>
      <w:pPr>
        <w:pStyle w:val="Heading1"/>
      </w:pPr>
      <w:r>
        <w:rPr>
          <w:rStyle w:val="SectionNumber"/>
        </w:rPr>
        <w:t xml:space="preserve">4</w:t>
      </w:r>
      <w:r>
        <w:tab/>
      </w:r>
      <w:r>
        <w:t xml:space="preserve">Methods</w:t>
      </w:r>
    </w:p>
    <w:p>
      <w:pPr>
        <w:pStyle w:val="FirstParagraph"/>
      </w:pPr>
      <w:r>
        <w:t xml:space="preserve">The pipeline runs as a chain of steps (Fig. 2), and this section follows it in order. Settings not given here are in the Supporting Information (Section S1).</w:t>
      </w:r>
    </w:p>
    <w:bookmarkStart w:id="17"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 from a 30 m elevation model</w:t>
      </w:r>
      <w:r>
        <w:t xml:space="preserve"> </w:t>
      </w:r>
      <w:r>
        <w:t xml:space="preserve">(Hawker et al., 2022)</w:t>
      </w:r>
      <w:r>
        <w:t xml:space="preserve">, would suit a flat delta better, but its licence forbids commercial use and requires derived data to carry the same terms, which the CC BY 4.0 data archive of this study could not. The vertical error of SRTM on flat floodplains is therefore one possible reason why TWI and HAND add little once elevation is known (Section 5.7), a reading that was not tested.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7"/>
    <w:bookmarkStart w:id="18"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8"/>
    <w:bookmarkStart w:id="19"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9"/>
    <w:bookmarkStart w:id="20"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chosen by the comparison in Section 5.6, where it is set against a two-layer GraphSAGE network</w:t>
      </w:r>
      <w:r>
        <w:t xml:space="preserve"> </w:t>
      </w:r>
      <w:r>
        <w:t xml:space="preserve">(Hamilton et al., 2017)</w:t>
      </w:r>
      <w:r>
        <w:t xml:space="preserve"> </w:t>
      </w:r>
      <w:r>
        <w:t xml:space="preserve">on a six-nearest-neighbour graph of assets, a random forest and logistic regression.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5.4). Every validation figure outside that section comes from the model without it, because the feature is built from the events the models are scored against.</w:t>
      </w:r>
    </w:p>
    <w:bookmarkEnd w:id="20"/>
    <w:bookmarkStart w:id="21" w:name="sec:hazard"/>
    <w:p>
      <w:pPr>
        <w:pStyle w:val="Heading2"/>
      </w:pPr>
      <w:r>
        <w:rPr>
          <w:rStyle w:val="SectionNumber"/>
        </w:rPr>
        <w:t xml:space="preserve">4.5</w:t>
      </w:r>
      <w:r>
        <w:tab/>
      </w:r>
      <w:r>
        <w:t xml:space="preserve">Hazard surfaces</w:t>
      </w:r>
    </w:p>
    <w:p>
      <w:pPr>
        <w:pStyle w:val="FirstParagraph"/>
      </w:pPr>
      <w:r>
        <w:t xml:space="preserve">Two hazard surfaces cover the grid. The first interpolates the asset scores by ordinary Kriging, which can add little between assets where the scores lack spatial structure, and the fitted variograms leave 0.307 of the sill unexplained at zero distance in Rangpur and Rajshahi and 0.742 in Sylhet. The second, the default, is a class-weighted logistic regression on each cell’s own elevation, slope, TWI, HAND and flow accumulation, trained at the assets on the observed labels and blocks and evaluated at every 30 m cell. It leaves out the access distances, which describe exposure rather than the likelihood of flooding, and so follows individual channels and levees where the Kriged surface varies over tens of kilometres (Supporting Information, Fig. S1).</w:t>
      </w:r>
    </w:p>
    <w:bookmarkEnd w:id="21"/>
    <w:bookmarkStart w:id="22" w:name="sec:aggregation"/>
    <w:p>
      <w:pPr>
        <w:pStyle w:val="Heading2"/>
      </w:pPr>
      <w:r>
        <w:rPr>
          <w:rStyle w:val="SectionNumber"/>
        </w:rPr>
        <w:t xml:space="preserve">4.6</w:t>
      </w:r>
      <w:r>
        <w:tab/>
      </w:r>
      <w:r>
        <w:t xml:space="preserve">Exposure, vulnerability and composite risk</w:t>
      </w:r>
    </w:p>
    <w:p>
      <w:pPr>
        <w:pStyle w:val="FirstParagraph"/>
      </w:pPr>
      <w:r>
        <w:t xml:space="preserve">Exposure is measured twice for each 500 m cell, once as the type-weighted count of mapped assets and once as WorldPop density, both log-scaled. Vulnerability combines population density with the distance to the nearest hospital, flood shelter and primary road, and components without data are left out rather than filled with a constant. Composite risk is the geometric mean of hazard, exposure and vulnerability, as in INFORM</w:t>
      </w:r>
      <w:r>
        <w:t xml:space="preserve"> </w:t>
      </w:r>
      <w:r>
        <w:t xml:space="preserve">(European Commission Joint Research Centre, 2017)</w:t>
      </w:r>
      <w:r>
        <w:t xml:space="preserve">, so that no exposure means no risk, and cells are placed in five relative classes by quintile. Cells and administrative units with no mapped assets carry no score, since sparse mapping would otherwise read as low risk. Results are summarised for every union, upazila and district (Fig. 3), and the weights, the hotspot method and a sensitivity analysis are in the Supporting Information (Sections S2 and S3). The ranking of cells is robust to the chosen weights, with a mean Spearman correlation of 0.963 with the published ranking when every weight is perturbed at random in Rangpur and Rajshahi, and it changes materially only when vulnerability is reduced to population density alone (</w:t>
      </w:r>
      <m:oMath>
        <m:r>
          <m:t>ρ</m:t>
        </m:r>
        <m:r>
          <m:rPr>
            <m:sty m:val="p"/>
          </m:rPr>
          <m:t>=</m:t>
        </m:r>
        <m:r>
          <m:t>0.663</m:t>
        </m:r>
      </m:oMath>
      <w:r>
        <w:t xml:space="preserve">).</w:t>
      </w:r>
    </w:p>
    <w:bookmarkEnd w:id="22"/>
    <w:bookmarkStart w:id="23" w:name="sec:design"/>
    <w:p>
      <w:pPr>
        <w:pStyle w:val="Heading2"/>
      </w:pPr>
      <w:r>
        <w:rPr>
          <w:rStyle w:val="SectionNumber"/>
        </w:rPr>
        <w:t xml:space="preserve">4.7</w:t>
      </w:r>
      <w:r>
        <w:tab/>
      </w:r>
      <w:r>
        <w:t xml:space="preserve">Validation design</w:t>
      </w:r>
    </w:p>
    <w:p>
      <w:pPr>
        <w:pStyle w:val="FirstParagraph"/>
      </w:pPr>
      <w:r>
        <w:t xml:space="preserve">Every model is scored on the held-out blocks by the area under the ROC curve (AUC), average precision and its lift over the base rate, and the Brier score, and the hazard surfaces are also scored against observed flooding on a grid of about 500 m cells, both over the whole grid and, refitted for each assignment, over the cells of its test blocks. Every comparison between models or label sources is repeated over 20 block assignments drawn with different seeds, because one assignment gives a single number with no sense of its spread.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A temporal test trains on the floods up to 2022 and scores against those of 2024 (Section 5.4).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3"/>
    <w:bookmarkEnd w:id="24"/>
    <w:bookmarkStart w:id="32" w:name="sec:validation"/>
    <w:p>
      <w:pPr>
        <w:pStyle w:val="Heading1"/>
      </w:pPr>
      <w:r>
        <w:rPr>
          <w:rStyle w:val="SectionNumber"/>
        </w:rPr>
        <w:t xml:space="preserve">5</w:t>
      </w:r>
      <w:r>
        <w:tab/>
      </w:r>
      <w:r>
        <w:t xml:space="preserve">Results</w:t>
      </w:r>
    </w:p>
    <w:bookmarkStart w:id="25"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5). It carries less well to the coast, where the calibration blocks hold 5.5 % flood-prone assets against 1.7 % in the test blocks and the calibrated Brier score of 0.039 is worse than the base rate at 0.017.</w:t>
      </w:r>
    </w:p>
    <w:bookmarkEnd w:id="25"/>
    <w:bookmarkStart w:id="26"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4). This test favours the observed labels, since that model is scored against the definition it learned, so Section 5.4 repeats it against later floods that neither label source was trained on.</w:t>
      </w:r>
    </w:p>
    <w:bookmarkEnd w:id="26"/>
    <w:bookmarkStart w:id="27" w:name="the-south-west-coast"/>
    <w:p>
      <w:pPr>
        <w:pStyle w:val="Heading2"/>
      </w:pPr>
      <w:r>
        <w:rPr>
          <w:rStyle w:val="SectionNumber"/>
        </w:rPr>
        <w:t xml:space="preserve">5.3</w:t>
      </w:r>
      <w:r>
        <w:tab/>
      </w:r>
      <w:r>
        <w:t xml:space="preserve">The south-west coast</w:t>
      </w:r>
    </w:p>
    <w:p>
      <w:pPr>
        <w:pStyle w:val="FirstParagraph"/>
      </w:pPr>
      <w:r>
        <w:t xml:space="preserve">On the coast the asset model still ranks flooded ground above dry ground (AUC 0.794), but both hazard surfaces are weak. Over the whole grid, training ground included, the terrain surface reaches 0.542 and the Kriged one 0.538, against 0.657 and 0.666 in Rangpur and Rajshahi and 0.822 and 0.544 in Sylhet. Refitted for each assignment and scored only on the cells of its test blocks, which hold only ground near mapped assets, the terrain surface reaches 0.656, 0.763 and 0.610, so the whole-grid figure overstated it in Sylhet. Surge flooding is governed by polder embankments, tidal channels and landfall position, none of which elevation describes.</w:t>
      </w:r>
    </w:p>
    <w:bookmarkEnd w:id="27"/>
    <w:bookmarkStart w:id="28" w:name="sec:temporal"/>
    <w:p>
      <w:pPr>
        <w:pStyle w:val="Heading2"/>
      </w:pPr>
      <w:r>
        <w:rPr>
          <w:rStyle w:val="SectionNumber"/>
        </w:rPr>
        <w:t xml:space="preserve">5.4</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In both riverine regions the record of earlier flooding ranks it better, at 0.896 and 0.851, with the model ahead on only 2 and 4 of 20 assignments, whereas on the coast the model leads, at 0.807 against 0.668. The regions differ in how often floods return to the same ground, since only 16.9 % and 22.3 % of the assets flooded in 2024 stood on ground no earlier event had reached, against 65.5 % on the coast, where each surge floods the stretch of coast where it lands. The 2024 floods in Rangpur and Rajshahi were also small, covering 4.9–8.3 % of the region against 19.9–24.8 % for each earlier flood, whereas in Sylhet they were as large as earlier ones.</w:t>
      </w:r>
    </w:p>
    <w:p>
      <w:pPr>
        <w:pStyle w:val="BodyText"/>
      </w:pPr>
      <w:r>
        <w:t xml:space="preserve">Seven checks test whether the comparison favours one side (Supporting Information, Section S5, Table S1), and in Rangpur and Rajshahi the record keeps its lead under all of them, if narrowly under two. Sentinel-1B failed in December 2021, so the earlier events were seen by two satellites and the 2024 ones by one, and since each mask takes the lowest backscatter in its window, more scenes can map more flooding. Re-mapped from Sentinel-1A alone, the earlier events shrank by up to 15.7 % and the record still led by 0.097. The published model learns a yes-or-no label from the earlier events while the record keeps their fraction, and retrained on flooding in any earlier event, which is how the 2024 floods are counted, or on the fraction itself, the model fell further behind, by 0.133 and 0.131. With 40 km blocks the lead grew to 0.126, and setting aside the ground that radar could mistake for water every monsoon, such as wet paddy, narrowed it to within noise without reversing it. In Sylhet the record’s lead closed, to 0.017 and 0.016, when the model learned the same target as the test, and outside the haor’s seasonal water the two were level, so the Sylhet result rests on the choice of target. On the coast the model’s lead fell within noise with 20 and 40 km blocks.</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either the model without the feature at 0.837 (</w:t>
      </w:r>
      <m:oMath>
        <m:r>
          <m:t>p</m:t>
        </m:r>
        <m:r>
          <m:rPr>
            <m:sty m:val="p"/>
          </m:rPr>
          <m:t>=</m:t>
        </m:r>
        <m:r>
          <m:t>0.196</m:t>
        </m:r>
      </m:oMath>
      <w:r>
        <w:t xml:space="preserve">) or the record alone at 0.851 (</w:t>
      </w:r>
      <m:oMath>
        <m:r>
          <m:t>p</m:t>
        </m:r>
        <m:r>
          <m:rPr>
            <m:sty m:val="p"/>
          </m:rPr>
          <m:t>=</m:t>
        </m:r>
        <m:r>
          <m:t>0.881</m:t>
        </m:r>
      </m:oMath>
      <w:r>
        <w:t xml:space="preserve">). It still ranks the 2024 flooding at 0.777 on the 79.8 % of test assets that no earlier flood reached.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8"/>
    <w:bookmarkStart w:id="29"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 The comparison with the flood record under wider blocks is reported in Section 5.4.</w:t>
      </w:r>
    </w:p>
    <w:bookmarkEnd w:id="29"/>
    <w:bookmarkStart w:id="30" w:name="sec:benchmark"/>
    <w:p>
      <w:pPr>
        <w:pStyle w:val="Heading2"/>
      </w:pPr>
      <w:r>
        <w:rPr>
          <w:rStyle w:val="SectionNumber"/>
        </w:rPr>
        <w:t xml:space="preserve">5.6</w:t>
      </w:r>
      <w:r>
        <w:tab/>
      </w:r>
      <w:r>
        <w:t xml:space="preserve">Model comparison</w:t>
      </w:r>
    </w:p>
    <w:p>
      <w:pPr>
        <w:pStyle w:val="FirstParagraph"/>
      </w:pPr>
      <w:r>
        <w:t xml:space="preserve">A graph neural network, the design this system began with, is set against logistic regression, a random forest and gradient boosting on the same features, assets and blocks, with the wetness index alone as a model-free reference, over 20 assignments (Table 7, Fig. 6). Gradient boosting scores best in every region, and the graph network trails it measurably only in Rangpur and Rajshahi, by 0.028 in AUC (</w:t>
      </w:r>
      <m:oMath>
        <m:r>
          <m:t>p</m:t>
        </m:r>
        <m:r>
          <m:rPr>
            <m:sty m:val="p"/>
          </m:rPr>
          <m:t>=</m:t>
        </m:r>
        <m:r>
          <m:t>0.003</m:t>
        </m:r>
      </m:oMath>
      <w:r>
        <w:t xml:space="preserve">), while the wetness index alone ranks close to chance, at 0.517, 0.535 and 0.577. Gradient boosting is therefore the default for every region, since choosing a model per region would fit the model to the split. Its AUC varies by 0.042 to 0.046 from one assignment to the next, so each single-assignment figure, including those in Table 5, is one draw from a distribution of that width.</w:t>
      </w:r>
    </w:p>
    <w:bookmarkEnd w:id="30"/>
    <w:bookmarkStart w:id="31" w:name="sec:importance"/>
    <w:p>
      <w:pPr>
        <w:pStyle w:val="Heading2"/>
      </w:pPr>
      <w:r>
        <w:rPr>
          <w:rStyle w:val="SectionNumber"/>
        </w:rPr>
        <w:t xml:space="preserve">5.7</w:t>
      </w:r>
      <w:r>
        <w:tab/>
      </w:r>
      <w:r>
        <w:t xml:space="preserve">What the model relies on</w:t>
      </w:r>
    </w:p>
    <w:p>
      <w:pPr>
        <w:pStyle w:val="FirstParagraph"/>
      </w:pPr>
      <w:r>
        <w:t xml:space="preserve">Shuffling each feature across the test assets over the same assignments shows what the default model uses (Fig. 7).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31"/>
    <w:bookmarkEnd w:id="32"/>
    <w:bookmarkStart w:id="38" w:name="sec:discussion"/>
    <w:p>
      <w:pPr>
        <w:pStyle w:val="Heading1"/>
      </w:pPr>
      <w:r>
        <w:rPr>
          <w:rStyle w:val="SectionNumber"/>
        </w:rPr>
        <w:t xml:space="preserve">6</w:t>
      </w:r>
      <w:r>
        <w:tab/>
      </w:r>
      <w:r>
        <w:t xml:space="preserve">Discussion</w:t>
      </w:r>
    </w:p>
    <w:bookmarkStart w:id="33" w:name="what-the-flood-record-already-knows"/>
    <w:p>
      <w:pPr>
        <w:pStyle w:val="Heading2"/>
      </w:pPr>
      <w:r>
        <w:rPr>
          <w:rStyle w:val="SectionNumber"/>
        </w:rPr>
        <w:t xml:space="preserve">6.1</w:t>
      </w:r>
      <w:r>
        <w:tab/>
      </w:r>
      <w:r>
        <w:t xml:space="preserve">What the flood record already knows</w:t>
      </w:r>
    </w:p>
    <w:p>
      <w:pPr>
        <w:pStyle w:val="FirstParagraph"/>
      </w:pPr>
      <w:r>
        <w:t xml:space="preserve">Susceptibility studies rarely ask whether a model anticipates a later flood better than the record of earlier ones, and here the answer followed how often floods returned to the same ground. In Rangpur and Rajshahi, where most of the ground the 2024 floods reached had flooded before, the record led under every check applied. The model added to it only when given the record as a feature, gaining on ground no earlier flood had reached, where the record cannot rank at all. In the Sylhet haor the record’s lead depended on what the model was trained to predict and lay on the margins of the seasonal water. A published multi-criteria map scored on the same 2024 floods reached 0.794</w:t>
      </w:r>
      <w:r>
        <w:t xml:space="preserve"> </w:t>
      </w:r>
      <w:r>
        <w:t xml:space="preserve">(Swarup &amp; Nury, 2026)</w:t>
      </w:r>
      <w:r>
        <w:t xml:space="preserve">, close to this model’s 0.797, while the record ranked them at 0.851, a comparison that is only indicative, since that map was scored over areas rather than assets. On the coast, where most of the ground Cyclone Remal flooded had not flooded in the earlier cyclones, the model’s lead did not survive wider blocks. Three regions cannot establish that pattern, but they show that the comparison has to be made region by region rather than assumed. The record marks where water returns and the terrain ranks where it has not yet been seen, so a susceptibility map for a river basin with a radar flood history should at least report the record beside it, and where the record is informative the two can be combined. A study that reports accuracy without that reference cannot show that its model knows more than the flood record already does, and the comparison is simple to make wherever Sentinel-1 has observed earlier floods.</w:t>
      </w:r>
    </w:p>
    <w:bookmarkEnd w:id="33"/>
    <w:bookmarkStart w:id="34" w:name="Xb4a8fee8a51e2cac850759879c84117ad532b59"/>
    <w:p>
      <w:pPr>
        <w:pStyle w:val="Heading2"/>
      </w:pPr>
      <w:r>
        <w:rPr>
          <w:rStyle w:val="SectionNumber"/>
        </w:rPr>
        <w:t xml:space="preserve">6.2</w:t>
      </w:r>
      <w:r>
        <w:tab/>
      </w:r>
      <w:r>
        <w:t xml:space="preserve">Labels decide what an accuracy figure means</w:t>
      </w:r>
    </w:p>
    <w:p>
      <w:pPr>
        <w:pStyle w:val="FirstParagraph"/>
      </w:pPr>
      <w:r>
        <w:t xml:space="preserve">The label source decides what a published accuracy figure measures. Terrain-threshold labels cost the model 0.101, 0.087 and 0.080 in AUC on held-out blocks. Against later floods that neither label source had seen they still cost 0.069, 0.024 and 0.071, so in Rangpur and Rajshahi and on the coast the advantage of radar labels does not depend on the test sharing their definition, while in Sylhet most of it did.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those studies split their points at random while every figure here comes from 10 km blocks the model never saw, and wider blocks lower these figures a little further (Section 5.5).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4"/>
    <w:bookmarkStart w:id="35" w:name="Xa0a4390a637e12f1989c7cc4b426b20e3374b13"/>
    <w:p>
      <w:pPr>
        <w:pStyle w:val="Heading2"/>
      </w:pPr>
      <w:r>
        <w:rPr>
          <w:rStyle w:val="SectionNumber"/>
        </w:rPr>
        <w:t xml:space="preserve">6.3</w:t>
      </w:r>
      <w:r>
        <w:tab/>
      </w:r>
      <w:r>
        <w:t xml:space="preserve">What the graph and interpolation did not add</w:t>
      </w:r>
    </w:p>
    <w:p>
      <w:pPr>
        <w:pStyle w:val="FirstParagraph"/>
      </w:pPr>
      <w:r>
        <w:t xml:space="preserve">On identical features and blocks the graph network trailed the best tabular model in every region, measurably only in Rangpur and Rajshahi, probably because the features already carry the neighbourhood, since nearby assets share elevation and distances to the same services, although this was not tested. The graphs that reported gains elsewhere linked catchments or sub-watersheds along the flow of water</w:t>
      </w:r>
      <w:r>
        <w:t xml:space="preserve"> </w:t>
      </w:r>
      <w:r>
        <w:t xml:space="preserve">(Liu et al., 2026; Sharma &amp; Sharma, 2026)</w:t>
      </w:r>
      <w:r>
        <w:t xml:space="preserve">, whereas this one linked each asset to its nearest neighbours, so the result bears on proximity graphs of assets, and whether a river-connected graph would help remains untested. Kriging fared no better, and over the whole grid in Sylhet it ranked observed flooding at 0.544 against 0.822 for the terrain surface. Studies proposing either should report the tabular baseline on the same blocks.</w:t>
      </w:r>
    </w:p>
    <w:bookmarkEnd w:id="35"/>
    <w:bookmarkStart w:id="36" w:name="sec:implications"/>
    <w:p>
      <w:pPr>
        <w:pStyle w:val="Heading2"/>
      </w:pPr>
      <w:r>
        <w:rPr>
          <w:rStyle w:val="SectionNumber"/>
        </w:rPr>
        <w:t xml:space="preserve">6.4</w:t>
      </w:r>
      <w:r>
        <w:tab/>
      </w:r>
      <w:r>
        <w:t xml:space="preserve">Implications for flood risk management</w:t>
      </w:r>
    </w:p>
    <w:p>
      <w:pPr>
        <w:pStyle w:val="FirstParagraph"/>
      </w:pPr>
      <w:r>
        <w:t xml:space="preserve">The results bear on flood risk management in three ways. First, where Sentinel-1 has observed several floods, the record of where water has already stood was at least as good a guide to the next riverine flood as a terrain model alone, and in Rangpur and Rajshahi a better one. It costs little to compute, so agencies such as the Bangladesh Water Development Board and the Flood Forecasting and Warning Centre could publish it as a planning layer beside any susceptibility map. The terrain model adds most where the record is silent, on ground no mapped flood has reached and possibly on a coast where each surge strikes new ground, although the coastal lead did not survive wider blocks. Second, a susceptibility map used to site shelters, embankments or schools should be judged on held-out areas and later floods rather than on random splits, since the accuracy a random split reports overstates how far the map can be trusted in places it has not seen. Third, the composite risk classes rank unions within a region and must be read with their gaps, because a union without mapped assets carries no score rather than a low one. The best tabular models tested here were almost indistinguishable in AUC, so better OpenStreetMap coverage of rural unions would probably improve the map more than a new model would. Infrastructure also fails in networks, and the disruption of services beyond a flooded asset, which asset-level exposure omits, needs network modelling of the kind developed for Accra</w:t>
      </w:r>
      <w:r>
        <w:t xml:space="preserve"> </w:t>
      </w:r>
      <w:r>
        <w:t xml:space="preserve">(Schotten &amp; Bachmann, 2023)</w:t>
      </w:r>
      <w:r>
        <w:t xml:space="preserve">. Validated against losses, maps of this kind could help set priorities among structural and non-structural flood measures in the districts they cover.</w:t>
      </w:r>
    </w:p>
    <w:bookmarkEnd w:id="36"/>
    <w:bookmarkStart w:id="37" w:name="limits-of-the-maps"/>
    <w:p>
      <w:pPr>
        <w:pStyle w:val="Heading2"/>
      </w:pPr>
      <w:r>
        <w:rPr>
          <w:rStyle w:val="SectionNumber"/>
        </w:rPr>
        <w:t xml:space="preserve">6.5</w:t>
      </w:r>
      <w:r>
        <w:tab/>
      </w:r>
      <w:r>
        <w:t xml:space="preserve">Limits of the maps</w:t>
      </w:r>
    </w:p>
    <w:p>
      <w:pPr>
        <w:pStyle w:val="FirstParagraph"/>
      </w:pPr>
      <w:r>
        <w:t xml:space="preserve">The coast is the clearest limit. Both hazard surfaces are weak there, the terrain surface reaching 0.610 on held-out ground, because surge flooding follows embankments, tidal channels and landfall position, which the pipeline does not yet ingest, so the coastal composite is not a map of surge exposure. Exposure depends on OpenStreetMap, whose rural completeness is unmeasured, and composite risk is defined only where assets are mapped, 12.5 % of grid cells in Rangpur and Rajshahi, while vulnerability omits income, housing and age structure, dimensions that a household survey in flood-prone Sunamganj found to matter</w:t>
      </w:r>
      <w:r>
        <w:t xml:space="preserve"> </w:t>
      </w:r>
      <w:r>
        <w:t xml:space="preserve">(Rahman et al., 2025)</w:t>
      </w:r>
      <w:r>
        <w:t xml:space="preserve">. The radar labels carry error of their own, agreeing only moderately with an independent MODIS map and counting inundated paddy as flooding. The temporal test rests on a single flood year, and in Rangpur and Rajshahi on small floods that stayed largely within earlier extents, so a larger flood reaching new ground might favour the model, as on the coast. Every score here therefore measures agreement with flooding mapped by radar rather than with flooding on the ground. The calibrated probabilities hold for a region as a whole rather than for any one area. The composite risk has not been checked against losses, and damage records for the 2022 and 2024 floods, where available, or depth-damage curves for infrastructure components such as those derived by expert elicitation</w:t>
      </w:r>
      <w:r>
        <w:t xml:space="preserve"> </w:t>
      </w:r>
      <w:r>
        <w:t xml:space="preserve">(Williams et al., 2025)</w:t>
      </w:r>
      <w:r>
        <w:t xml:space="preserve">, would allow the risk classes to be tested against the harm they are meant to anticipate. None of the surfaces is a forecast, and warnings remain the task of the Flood Forecasting and Warning Centre and the Bangladesh Meteorological Department.</w:t>
      </w:r>
    </w:p>
    <w:bookmarkEnd w:id="37"/>
    <w:bookmarkEnd w:id="38"/>
    <w:bookmarkStart w:id="39" w:name="sec:conclusions"/>
    <w:p>
      <w:pPr>
        <w:pStyle w:val="Heading1"/>
      </w:pPr>
      <w:r>
        <w:rPr>
          <w:rStyle w:val="SectionNumber"/>
        </w:rPr>
        <w:t xml:space="preserve">7</w:t>
      </w:r>
      <w:r>
        <w:tab/>
      </w:r>
      <w:r>
        <w:t xml:space="preserve">Conclusions</w:t>
      </w:r>
    </w:p>
    <w:p>
      <w:pPr>
        <w:pStyle w:val="FirstParagraph"/>
      </w:pPr>
      <w:r>
        <w:t xml:space="preserve">In the riverine region where floods returned to the same ground, a terrain-based flood susceptibility model did not know more than the flood record. In Rangpur and Rajshahi the record of earlier floods predicted the 2024 flooding better than the model under every check applied, and a model given that record as a feature beat both, reaching 0.924, by ranking the ground no earlier flood had reached. In the Sylhet haor the comparison turned on the model’s training target, and on the cyclone-struck coast it remains open. Radar-observed flood extents made better training labels than terrain thresholds, by 0.101, 0.087 and 0.080 in AUC on held-out ground and by 0.069, 0.024 and 0.071 against later floods. Ordinary tabular models matched or beat a graph neural network, and the terrain hazard surface ranked observed flooding on held-out ground at 0.656 and 0.763 in the riverine regions and only 0.610 on the coast. Every number in this paper is generated from the released pipeline outputs, so each can be checked and rebuilt.</w:t>
      </w:r>
    </w:p>
    <w:bookmarkEnd w:id="39"/>
    <w:bookmarkStart w:id="43"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40">
        <w:r>
          <w:rPr>
            <w:rStyle w:val="Hyperlink"/>
          </w:rPr>
          <w:t xml:space="preserve">https://doi.org/10.5281/zenodo.23130732</w:t>
        </w:r>
      </w:hyperlink>
      <w:r>
        <w:t xml:space="preserve">. The code that produced them is openly available at</w:t>
      </w:r>
      <w:r>
        <w:t xml:space="preserve"> </w:t>
      </w:r>
      <w:hyperlink r:id="rId41">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all four regions, including that one, per region with a manifest of checksums and licences.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42">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43"/>
    <w:bookmarkStart w:id="44"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4"/>
    <w:bookmarkStart w:id="134" w:name="references"/>
    <w:p>
      <w:pPr>
        <w:pStyle w:val="Heading1"/>
      </w:pPr>
      <w:r>
        <w:t xml:space="preserve">References</w:t>
      </w:r>
    </w:p>
    <w:bookmarkStart w:id="133" w:name="refs"/>
    <w:bookmarkStart w:id="46"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5">
        <w:r>
          <w:rPr>
            <w:rStyle w:val="Hyperlink"/>
          </w:rPr>
          <w:t xml:space="preserve">https://doi.org/10.1016/j.jenvman.2022.116813</w:t>
        </w:r>
      </w:hyperlink>
    </w:p>
    <w:bookmarkEnd w:id="46"/>
    <w:bookmarkStart w:id="48"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7">
        <w:r>
          <w:rPr>
            <w:rStyle w:val="Hyperlink"/>
          </w:rPr>
          <w:t xml:space="preserve">https://doi.org/10.3390/rs16040656</w:t>
        </w:r>
      </w:hyperlink>
    </w:p>
    <w:bookmarkEnd w:id="48"/>
    <w:bookmarkStart w:id="50" w:name="ref-bentivoglio2022"/>
    <w:p>
      <w:pPr>
        <w:pStyle w:val="Bibliography"/>
      </w:pPr>
      <w:r>
        <w:t xml:space="preserve">Bentivoglio, R., Isufi, E., Jonkman, S. N., &amp; Taormina, R. (2022).</w:t>
      </w:r>
      <w:r>
        <w:t xml:space="preserve"> </w:t>
      </w:r>
      <w:r>
        <w:t xml:space="preserve">Deep learning methods for flood mapping: a review of existing applications and future research directions</w:t>
      </w:r>
      <w:r>
        <w:t xml:space="preserve">.</w:t>
      </w:r>
      <w:r>
        <w:t xml:space="preserve"> </w:t>
      </w:r>
      <w:r>
        <w:rPr>
          <w:i/>
          <w:iCs/>
        </w:rPr>
        <w:t xml:space="preserve">Hydrology and Earth System Sciences</w:t>
      </w:r>
      <w:r>
        <w:t xml:space="preserve">,</w:t>
      </w:r>
      <w:r>
        <w:t xml:space="preserve"> </w:t>
      </w:r>
      <w:r>
        <w:rPr>
          <w:i/>
          <w:iCs/>
        </w:rPr>
        <w:t xml:space="preserve">26</w:t>
      </w:r>
      <w:r>
        <w:t xml:space="preserve">(16), 4345–4378.</w:t>
      </w:r>
      <w:r>
        <w:t xml:space="preserve"> </w:t>
      </w:r>
      <w:hyperlink r:id="rId49">
        <w:r>
          <w:rPr>
            <w:rStyle w:val="Hyperlink"/>
          </w:rPr>
          <w:t xml:space="preserve">https://doi.org/10.5194/hess-26-4345-2022</w:t>
        </w:r>
      </w:hyperlink>
    </w:p>
    <w:bookmarkEnd w:id="50"/>
    <w:bookmarkStart w:id="52"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51">
        <w:r>
          <w:rPr>
            <w:rStyle w:val="Hyperlink"/>
          </w:rPr>
          <w:t xml:space="preserve">https://doi.org/10.1080/02626667909491834</w:t>
        </w:r>
      </w:hyperlink>
    </w:p>
    <w:bookmarkEnd w:id="52"/>
    <w:bookmarkStart w:id="54" w:name="ref-chung2003"/>
    <w:p>
      <w:pPr>
        <w:pStyle w:val="Bibliography"/>
      </w:pPr>
      <w:r>
        <w:t xml:space="preserve">Chung, C.-J. F., &amp; Fabbri, A. G. (2003). Validation of spatial prediction models for landslide hazard mapping.</w:t>
      </w:r>
      <w:r>
        <w:t xml:space="preserve"> </w:t>
      </w:r>
      <w:r>
        <w:rPr>
          <w:i/>
          <w:iCs/>
        </w:rPr>
        <w:t xml:space="preserve">Natural Hazards</w:t>
      </w:r>
      <w:r>
        <w:t xml:space="preserve">,</w:t>
      </w:r>
      <w:r>
        <w:t xml:space="preserve"> </w:t>
      </w:r>
      <w:r>
        <w:rPr>
          <w:i/>
          <w:iCs/>
        </w:rPr>
        <w:t xml:space="preserve">30</w:t>
      </w:r>
      <w:r>
        <w:t xml:space="preserve">, 451–472.</w:t>
      </w:r>
      <w:r>
        <w:t xml:space="preserve"> </w:t>
      </w:r>
      <w:hyperlink r:id="rId53">
        <w:r>
          <w:rPr>
            <w:rStyle w:val="Hyperlink"/>
          </w:rPr>
          <w:t xml:space="preserve">https://doi.org/10.1023/B:NHAZ.0000007172.62651.2b</w:t>
        </w:r>
      </w:hyperlink>
    </w:p>
    <w:bookmarkEnd w:id="54"/>
    <w:bookmarkStart w:id="56"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5">
        <w:r>
          <w:rPr>
            <w:rStyle w:val="Hyperlink"/>
          </w:rPr>
          <w:t xml:space="preserve">https://doi.org/10.1111/jfr3.70201</w:t>
        </w:r>
      </w:hyperlink>
    </w:p>
    <w:bookmarkEnd w:id="56"/>
    <w:bookmarkStart w:id="58" w:name="ref-inform2017"/>
    <w:p>
      <w:pPr>
        <w:pStyle w:val="Bibliography"/>
      </w:pPr>
      <w:r>
        <w:t xml:space="preserve">European Commission Joint Research Centre. (2017).</w:t>
      </w:r>
      <w:r>
        <w:t xml:space="preserve"> </w:t>
      </w:r>
      <w:r>
        <w:rPr>
          <w:i/>
          <w:iCs/>
        </w:rPr>
        <w:t xml:space="preserve">Index for Risk Management – INFORM: Concept and Methodology, Version 2017</w:t>
      </w:r>
      <w:r>
        <w:t xml:space="preserve">. Publications Office of the European Union.</w:t>
      </w:r>
      <w:r>
        <w:t xml:space="preserve"> </w:t>
      </w:r>
      <w:hyperlink r:id="rId57">
        <w:r>
          <w:rPr>
            <w:rStyle w:val="Hyperlink"/>
          </w:rPr>
          <w:t xml:space="preserve">https://doi.org/10.2760/094023</w:t>
        </w:r>
      </w:hyperlink>
    </w:p>
    <w:bookmarkEnd w:id="58"/>
    <w:bookmarkStart w:id="60" w:name="ref-giezendanner2023"/>
    <w:p>
      <w:pPr>
        <w:pStyle w:val="Bibliography"/>
      </w:pPr>
      <w:r>
        <w:t xml:space="preserve">Giezendanner, J., Mukherjee, R., Purri, M., Thomas, M., Mauerman, M., Islam, A. K. M. S., &amp; Tellman, B. (2023). Inferring the past: A combined</w:t>
      </w:r>
      <w:r>
        <w:t xml:space="preserve"> </w:t>
      </w:r>
      <w:r>
        <w:t xml:space="preserve">CNN–LSTM</w:t>
      </w:r>
      <w:r>
        <w:t xml:space="preserve"> </w:t>
      </w:r>
      <w:r>
        <w:t xml:space="preserve">deep learning framework to fuse satellites for historical inundation mapping.</w:t>
      </w:r>
      <w:r>
        <w:t xml:space="preserve"> </w:t>
      </w:r>
      <w:r>
        <w:rPr>
          <w:i/>
          <w:iCs/>
        </w:rPr>
        <w:t xml:space="preserve">Proceedings of the IEEE/CVF Conference on Computer Vision and Pattern Recognition Workshops</w:t>
      </w:r>
      <w:r>
        <w:t xml:space="preserve">, 2155–2165.</w:t>
      </w:r>
      <w:r>
        <w:t xml:space="preserve"> </w:t>
      </w:r>
      <w:hyperlink r:id="rId59">
        <w:r>
          <w:rPr>
            <w:rStyle w:val="Hyperlink"/>
          </w:rPr>
          <w:t xml:space="preserve">https://doi.org/10.1109/CVPRW59228.2023.00209</w:t>
        </w:r>
      </w:hyperlink>
    </w:p>
    <w:bookmarkEnd w:id="60"/>
    <w:bookmarkStart w:id="62" w:name="ref-guzzetti2006"/>
    <w:p>
      <w:pPr>
        <w:pStyle w:val="Bibliography"/>
      </w:pPr>
      <w:r>
        <w:t xml:space="preserve">Guzzetti, F., Reichenbach, P., Ardizzone, F., Cardinali, M., &amp; Galli, M. (2006). Estimating the quality of landslide susceptibility models.</w:t>
      </w:r>
      <w:r>
        <w:t xml:space="preserve"> </w:t>
      </w:r>
      <w:r>
        <w:rPr>
          <w:i/>
          <w:iCs/>
        </w:rPr>
        <w:t xml:space="preserve">Geomorphology</w:t>
      </w:r>
      <w:r>
        <w:t xml:space="preserve">,</w:t>
      </w:r>
      <w:r>
        <w:t xml:space="preserve"> </w:t>
      </w:r>
      <w:r>
        <w:rPr>
          <w:i/>
          <w:iCs/>
        </w:rPr>
        <w:t xml:space="preserve">81</w:t>
      </w:r>
      <w:r>
        <w:t xml:space="preserve">, 166–184.</w:t>
      </w:r>
      <w:r>
        <w:t xml:space="preserve"> </w:t>
      </w:r>
      <w:hyperlink r:id="rId61">
        <w:r>
          <w:rPr>
            <w:rStyle w:val="Hyperlink"/>
          </w:rPr>
          <w:t xml:space="preserve">https://doi.org/10.1016/j.geomorph.2006.04.007</w:t>
        </w:r>
      </w:hyperlink>
    </w:p>
    <w:bookmarkEnd w:id="62"/>
    <w:bookmarkStart w:id="64" w:name="ref-haghighi2022"/>
    <w:p>
      <w:pPr>
        <w:pStyle w:val="Bibliography"/>
      </w:pPr>
      <w:r>
        <w:t xml:space="preserve">Haghighi, M. H. (2022). Large-scale mapping of flood using</w:t>
      </w:r>
      <w:r>
        <w:t xml:space="preserve"> </w:t>
      </w:r>
      <w:r>
        <w:t xml:space="preserve">Sentinel-1</w:t>
      </w:r>
      <w:r>
        <w:t xml:space="preserve"> </w:t>
      </w:r>
      <w:r>
        <w:t xml:space="preserve">radar remote sensing.</w:t>
      </w:r>
      <w:r>
        <w:t xml:space="preserve"> </w:t>
      </w:r>
      <w:r>
        <w:rPr>
          <w:i/>
          <w:iCs/>
        </w:rPr>
        <w:t xml:space="preserve">The International Archives of the Photogrammetry, Remote Sensing and Spatial Information Sciences</w:t>
      </w:r>
      <w:r>
        <w:t xml:space="preserve">,</w:t>
      </w:r>
      <w:r>
        <w:t xml:space="preserve"> </w:t>
      </w:r>
      <w:r>
        <w:rPr>
          <w:i/>
          <w:iCs/>
        </w:rPr>
        <w:t xml:space="preserve">XLIII-B3-2022</w:t>
      </w:r>
      <w:r>
        <w:t xml:space="preserve">, 1097–1102.</w:t>
      </w:r>
      <w:r>
        <w:t xml:space="preserve"> </w:t>
      </w:r>
      <w:hyperlink r:id="rId63">
        <w:r>
          <w:rPr>
            <w:rStyle w:val="Hyperlink"/>
          </w:rPr>
          <w:t xml:space="preserve">https://doi.org/10.5194/isprs-archives-XLIII-B3-2022-1097-2022</w:t>
        </w:r>
      </w:hyperlink>
    </w:p>
    <w:bookmarkEnd w:id="64"/>
    <w:bookmarkStart w:id="66"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65">
        <w:r>
          <w:rPr>
            <w:rStyle w:val="Hyperlink"/>
          </w:rPr>
          <w:t xml:space="preserve">https://arxiv.org/abs/1706.02216</w:t>
        </w:r>
      </w:hyperlink>
    </w:p>
    <w:bookmarkEnd w:id="66"/>
    <w:bookmarkStart w:id="68" w:name="ref-hawker2020"/>
    <w:p>
      <w:pPr>
        <w:pStyle w:val="Bibliography"/>
      </w:pPr>
      <w:r>
        <w:t xml:space="preserve">Hawker, L., Neal, J., Tellman, B., Liang, J., Schumann, G., Doyle, C., Sullivan, J. A., Savage, J., &amp; Tshimanga, R. (2020). Comparing earth observation and inundation models to map flood hazards.</w:t>
      </w:r>
      <w:r>
        <w:t xml:space="preserve"> </w:t>
      </w:r>
      <w:r>
        <w:rPr>
          <w:i/>
          <w:iCs/>
        </w:rPr>
        <w:t xml:space="preserve">Environmental Research Letters</w:t>
      </w:r>
      <w:r>
        <w:t xml:space="preserve">,</w:t>
      </w:r>
      <w:r>
        <w:t xml:space="preserve"> </w:t>
      </w:r>
      <w:r>
        <w:rPr>
          <w:i/>
          <w:iCs/>
        </w:rPr>
        <w:t xml:space="preserve">15</w:t>
      </w:r>
      <w:r>
        <w:t xml:space="preserve">, 124032.</w:t>
      </w:r>
      <w:r>
        <w:t xml:space="preserve"> </w:t>
      </w:r>
      <w:hyperlink r:id="rId67">
        <w:r>
          <w:rPr>
            <w:rStyle w:val="Hyperlink"/>
          </w:rPr>
          <w:t xml:space="preserve">https://doi.org/10.1088/1748-9326/abc216</w:t>
        </w:r>
      </w:hyperlink>
    </w:p>
    <w:bookmarkEnd w:id="68"/>
    <w:bookmarkStart w:id="70" w:name="ref-hawker2022"/>
    <w:p>
      <w:pPr>
        <w:pStyle w:val="Bibliography"/>
      </w:pPr>
      <w:r>
        <w:t xml:space="preserve">Hawker, L., Uhe, P., Paulo, L., Sosa, J., Savage, J., Sampson, C., &amp; Neal, J. (2022). A 30 m global map of elevation with forests and buildings removed.</w:t>
      </w:r>
      <w:r>
        <w:t xml:space="preserve"> </w:t>
      </w:r>
      <w:r>
        <w:rPr>
          <w:i/>
          <w:iCs/>
        </w:rPr>
        <w:t xml:space="preserve">Environmental Research Letters</w:t>
      </w:r>
      <w:r>
        <w:t xml:space="preserve">,</w:t>
      </w:r>
      <w:r>
        <w:t xml:space="preserve"> </w:t>
      </w:r>
      <w:r>
        <w:rPr>
          <w:i/>
          <w:iCs/>
        </w:rPr>
        <w:t xml:space="preserve">17</w:t>
      </w:r>
      <w:r>
        <w:t xml:space="preserve">(2), 024016.</w:t>
      </w:r>
      <w:r>
        <w:t xml:space="preserve"> </w:t>
      </w:r>
      <w:hyperlink r:id="rId69">
        <w:r>
          <w:rPr>
            <w:rStyle w:val="Hyperlink"/>
          </w:rPr>
          <w:t xml:space="preserve">https://doi.org/10.1088/1748-9326/ac4d4f</w:t>
        </w:r>
      </w:hyperlink>
    </w:p>
    <w:bookmarkEnd w:id="70"/>
    <w:bookmarkStart w:id="72" w:name="ref-herfort2023"/>
    <w:p>
      <w:pPr>
        <w:pStyle w:val="Bibliography"/>
      </w:pPr>
      <w:r>
        <w:t xml:space="preserve">Herfort, B., Lautenbach, S., Porto de Albuquerque, J., Anderson, J., &amp; Zipf, A. (2023).</w:t>
      </w:r>
      <w:r>
        <w:t xml:space="preserve"> </w:t>
      </w:r>
      <w:r>
        <w:t xml:space="preserve">A spatio-temporal analysis investigating completeness and inequalities of global urban building data in OpenStreetMap</w:t>
      </w:r>
      <w:r>
        <w:t xml:space="preserve">.</w:t>
      </w:r>
      <w:r>
        <w:t xml:space="preserve"> </w:t>
      </w:r>
      <w:r>
        <w:rPr>
          <w:i/>
          <w:iCs/>
        </w:rPr>
        <w:t xml:space="preserve">Nature Communications</w:t>
      </w:r>
      <w:r>
        <w:t xml:space="preserve">,</w:t>
      </w:r>
      <w:r>
        <w:t xml:space="preserve"> </w:t>
      </w:r>
      <w:r>
        <w:rPr>
          <w:i/>
          <w:iCs/>
        </w:rPr>
        <w:t xml:space="preserve">14</w:t>
      </w:r>
      <w:r>
        <w:t xml:space="preserve">(1), 3985.</w:t>
      </w:r>
      <w:r>
        <w:t xml:space="preserve"> </w:t>
      </w:r>
      <w:hyperlink r:id="rId71">
        <w:r>
          <w:rPr>
            <w:rStyle w:val="Hyperlink"/>
          </w:rPr>
          <w:t xml:space="preserve">https://doi.org/10.1038/s41467-023-39698-6</w:t>
        </w:r>
      </w:hyperlink>
    </w:p>
    <w:bookmarkEnd w:id="72"/>
    <w:bookmarkStart w:id="74"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73">
        <w:r>
          <w:rPr>
            <w:rStyle w:val="Hyperlink"/>
          </w:rPr>
          <w:t xml:space="preserve">https://doi.org/10.1016/j.gsf.2020.09.006</w:t>
        </w:r>
      </w:hyperlink>
    </w:p>
    <w:bookmarkEnd w:id="74"/>
    <w:bookmarkStart w:id="76"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75">
        <w:r>
          <w:rPr>
            <w:rStyle w:val="Hyperlink"/>
          </w:rPr>
          <w:t xml:space="preserve">https://doi.org/10.1016/j.envc.2023.100833</w:t>
        </w:r>
      </w:hyperlink>
    </w:p>
    <w:bookmarkEnd w:id="76"/>
    <w:bookmarkStart w:id="78" w:name="ref-koks2019"/>
    <w:p>
      <w:pPr>
        <w:pStyle w:val="Bibliography"/>
      </w:pPr>
      <w:r>
        <w:t xml:space="preserve">Koks, E. E., Rozenberg, J., Zorn, C., Tariverdi, M., Vousdoukas, M., Fraser, S. A., Hall, J. W., &amp; Hallegatte, S. (2019).</w:t>
      </w:r>
      <w:r>
        <w:t xml:space="preserve"> </w:t>
      </w:r>
      <w:r>
        <w:t xml:space="preserve">A global multi-hazard risk analysis of road and railway infrastructure assets</w:t>
      </w:r>
      <w:r>
        <w:t xml:space="preserve">.</w:t>
      </w:r>
      <w:r>
        <w:t xml:space="preserve"> </w:t>
      </w:r>
      <w:r>
        <w:rPr>
          <w:i/>
          <w:iCs/>
        </w:rPr>
        <w:t xml:space="preserve">Nature Communications</w:t>
      </w:r>
      <w:r>
        <w:t xml:space="preserve">,</w:t>
      </w:r>
      <w:r>
        <w:t xml:space="preserve"> </w:t>
      </w:r>
      <w:r>
        <w:rPr>
          <w:i/>
          <w:iCs/>
        </w:rPr>
        <w:t xml:space="preserve">10</w:t>
      </w:r>
      <w:r>
        <w:t xml:space="preserve">(1), 2677.</w:t>
      </w:r>
      <w:r>
        <w:t xml:space="preserve"> </w:t>
      </w:r>
      <w:hyperlink r:id="rId77">
        <w:r>
          <w:rPr>
            <w:rStyle w:val="Hyperlink"/>
          </w:rPr>
          <w:t xml:space="preserve">https://doi.org/10.1038/s41467-019-10442-3</w:t>
        </w:r>
      </w:hyperlink>
    </w:p>
    <w:bookmarkEnd w:id="78"/>
    <w:bookmarkStart w:id="80" w:name="ref-liu2026"/>
    <w:p>
      <w:pPr>
        <w:pStyle w:val="Bibliography"/>
      </w:pPr>
      <w:r>
        <w:t xml:space="preserve">Liu, J., Zhao, G., Xiong, J., &amp; Kinouchi, T. (2026). A graph-based deep learning approach for daily flash flood susceptibility modeling in</w:t>
      </w:r>
      <w:r>
        <w:t xml:space="preserve"> </w:t>
      </w:r>
      <w:r>
        <w:t xml:space="preserve">China</w:t>
      </w:r>
      <w:r>
        <w:t xml:space="preserve">.</w:t>
      </w:r>
      <w:r>
        <w:t xml:space="preserve"> </w:t>
      </w:r>
      <w:r>
        <w:rPr>
          <w:i/>
          <w:iCs/>
        </w:rPr>
        <w:t xml:space="preserve">Water Resources Research</w:t>
      </w:r>
      <w:r>
        <w:t xml:space="preserve">,</w:t>
      </w:r>
      <w:r>
        <w:t xml:space="preserve"> </w:t>
      </w:r>
      <w:r>
        <w:rPr>
          <w:i/>
          <w:iCs/>
        </w:rPr>
        <w:t xml:space="preserve">62</w:t>
      </w:r>
      <w:r>
        <w:t xml:space="preserve">, e2025WR041360.</w:t>
      </w:r>
      <w:r>
        <w:t xml:space="preserve"> </w:t>
      </w:r>
      <w:hyperlink r:id="rId79">
        <w:r>
          <w:rPr>
            <w:rStyle w:val="Hyperlink"/>
          </w:rPr>
          <w:t xml:space="preserve">https://doi.org/10.1029/2025WR041360</w:t>
        </w:r>
      </w:hyperlink>
    </w:p>
    <w:bookmarkEnd w:id="80"/>
    <w:bookmarkStart w:id="82" w:name="ref-ma2025"/>
    <w:p>
      <w:pPr>
        <w:pStyle w:val="Bibliography"/>
      </w:pPr>
      <w:r>
        <w:t xml:space="preserve">Ma, J., Han, Z., Liu, F., Wang, X., Hu, J., &amp; Zhang, P. (2025).</w:t>
      </w:r>
      <w:r>
        <w:t xml:space="preserve"> </w:t>
      </w:r>
      <w:r>
        <w:t xml:space="preserve">ConToGCN: A landslide susceptibility assessment model considering contour topographic features in slope units using graph convolution network</w:t>
      </w:r>
      <w:r>
        <w:t xml:space="preserve">.</w:t>
      </w:r>
      <w:r>
        <w:t xml:space="preserve"> </w:t>
      </w:r>
      <w:r>
        <w:rPr>
          <w:i/>
          <w:iCs/>
        </w:rPr>
        <w:t xml:space="preserve">CATENA</w:t>
      </w:r>
      <w:r>
        <w:t xml:space="preserve">,</w:t>
      </w:r>
      <w:r>
        <w:t xml:space="preserve"> </w:t>
      </w:r>
      <w:r>
        <w:rPr>
          <w:i/>
          <w:iCs/>
        </w:rPr>
        <w:t xml:space="preserve">255</w:t>
      </w:r>
      <w:r>
        <w:t xml:space="preserve">, 109029.</w:t>
      </w:r>
      <w:r>
        <w:t xml:space="preserve"> </w:t>
      </w:r>
      <w:hyperlink r:id="rId81">
        <w:r>
          <w:rPr>
            <w:rStyle w:val="Hyperlink"/>
          </w:rPr>
          <w:t xml:space="preserve">https://doi.org/10.1016/j.catena.2025.109029</w:t>
        </w:r>
      </w:hyperlink>
    </w:p>
    <w:bookmarkEnd w:id="82"/>
    <w:bookmarkStart w:id="84" w:name="ref-nadeau2003"/>
    <w:p>
      <w:pPr>
        <w:pStyle w:val="Bibliography"/>
      </w:pPr>
      <w:r>
        <w:t xml:space="preserve">Nadeau, C., &amp; Bengio, Y. (2003). Inference for the generalization error.</w:t>
      </w:r>
      <w:r>
        <w:t xml:space="preserve"> </w:t>
      </w:r>
      <w:r>
        <w:rPr>
          <w:i/>
          <w:iCs/>
        </w:rPr>
        <w:t xml:space="preserve">Machine Learning</w:t>
      </w:r>
      <w:r>
        <w:t xml:space="preserve">,</w:t>
      </w:r>
      <w:r>
        <w:t xml:space="preserve"> </w:t>
      </w:r>
      <w:r>
        <w:rPr>
          <w:i/>
          <w:iCs/>
        </w:rPr>
        <w:t xml:space="preserve">52</w:t>
      </w:r>
      <w:r>
        <w:t xml:space="preserve">(3), 239–281.</w:t>
      </w:r>
      <w:r>
        <w:t xml:space="preserve"> </w:t>
      </w:r>
      <w:hyperlink r:id="rId83">
        <w:r>
          <w:rPr>
            <w:rStyle w:val="Hyperlink"/>
          </w:rPr>
          <w:t xml:space="preserve">https://doi.org/10.1023/A:1024068626366</w:t>
        </w:r>
      </w:hyperlink>
    </w:p>
    <w:bookmarkEnd w:id="84"/>
    <w:bookmarkStart w:id="86"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85">
        <w:r>
          <w:rPr>
            <w:rStyle w:val="Hyperlink"/>
          </w:rPr>
          <w:t xml:space="preserve">https://doi.org/10.1145/1102351.1102430</w:t>
        </w:r>
      </w:hyperlink>
    </w:p>
    <w:bookmarkEnd w:id="86"/>
    <w:bookmarkStart w:id="88"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87">
        <w:r>
          <w:rPr>
            <w:rStyle w:val="Hyperlink"/>
          </w:rPr>
          <w:t xml:space="preserve">https://doi.org/10.1016/j.jhydrol.2011.03.051</w:t>
        </w:r>
      </w:hyperlink>
    </w:p>
    <w:bookmarkEnd w:id="88"/>
    <w:bookmarkStart w:id="90"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89">
        <w:r>
          <w:rPr>
            <w:rStyle w:val="Hyperlink"/>
          </w:rPr>
          <w:t xml:space="preserve">https://doi.org/10.1038/nature20584</w:t>
        </w:r>
      </w:hyperlink>
    </w:p>
    <w:bookmarkEnd w:id="90"/>
    <w:bookmarkStart w:id="92"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91">
        <w:r>
          <w:rPr>
            <w:rStyle w:val="Hyperlink"/>
          </w:rPr>
          <w:t xml:space="preserve">https://doi.org/10.1038/s41467-020-18321-y</w:t>
        </w:r>
      </w:hyperlink>
    </w:p>
    <w:bookmarkEnd w:id="92"/>
    <w:bookmarkStart w:id="94" w:name="ref-rahmanm2025"/>
    <w:p>
      <w:pPr>
        <w:pStyle w:val="Bibliography"/>
      </w:pPr>
      <w:r>
        <w:t xml:space="preserve">Rahman, M. M., Tanni, K. N., Shobuj, I. A., Hossain, Md. T., Alam, E., Al Hattaw, K. S., &amp; Islam, M. K. (2025).</w:t>
      </w:r>
      <w:r>
        <w:t xml:space="preserve"> </w:t>
      </w:r>
      <w:r>
        <w:t xml:space="preserve">Multidimensional Vulnerability Assessment for Floods: Evidence From Flood-Prone Areas of Bangladesh</w:t>
      </w:r>
      <w:r>
        <w:t xml:space="preserve">.</w:t>
      </w:r>
      <w:r>
        <w:t xml:space="preserve"> </w:t>
      </w:r>
      <w:r>
        <w:rPr>
          <w:i/>
          <w:iCs/>
        </w:rPr>
        <w:t xml:space="preserve">Journal of Flood Risk Management</w:t>
      </w:r>
      <w:r>
        <w:t xml:space="preserve">,</w:t>
      </w:r>
      <w:r>
        <w:t xml:space="preserve"> </w:t>
      </w:r>
      <w:r>
        <w:rPr>
          <w:i/>
          <w:iCs/>
        </w:rPr>
        <w:t xml:space="preserve">18</w:t>
      </w:r>
      <w:r>
        <w:t xml:space="preserve">(3), e70089.</w:t>
      </w:r>
      <w:r>
        <w:t xml:space="preserve"> </w:t>
      </w:r>
      <w:hyperlink r:id="rId93">
        <w:r>
          <w:rPr>
            <w:rStyle w:val="Hyperlink"/>
          </w:rPr>
          <w:t xml:space="preserve">https://doi.org/10.1111/jfr3.70089</w:t>
        </w:r>
      </w:hyperlink>
    </w:p>
    <w:bookmarkEnd w:id="94"/>
    <w:bookmarkStart w:id="96"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95">
        <w:r>
          <w:rPr>
            <w:rStyle w:val="Hyperlink"/>
          </w:rPr>
          <w:t xml:space="preserve">https://doi.org/10.1111/ecog.02881</w:t>
        </w:r>
      </w:hyperlink>
    </w:p>
    <w:bookmarkEnd w:id="96"/>
    <w:bookmarkStart w:id="98"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97">
        <w:r>
          <w:rPr>
            <w:rStyle w:val="Hyperlink"/>
          </w:rPr>
          <w:t xml:space="preserve">https://doi.org/10.1016/j.heliyon.2023.e16459</w:t>
        </w:r>
      </w:hyperlink>
    </w:p>
    <w:bookmarkEnd w:id="98"/>
    <w:bookmarkStart w:id="100" w:name="ref-schotten2023"/>
    <w:p>
      <w:pPr>
        <w:pStyle w:val="Bibliography"/>
      </w:pPr>
      <w:r>
        <w:t xml:space="preserve">Schotten, R., &amp; Bachmann, D. (2023).</w:t>
      </w:r>
      <w:r>
        <w:t xml:space="preserve"> </w:t>
      </w:r>
      <w:r>
        <w:t xml:space="preserve">Critical infrastructure network modelling for flood risk analyses: Approach and proof of concept in Accra, Ghana</w:t>
      </w:r>
      <w:r>
        <w:t xml:space="preserve">.</w:t>
      </w:r>
      <w:r>
        <w:t xml:space="preserve"> </w:t>
      </w:r>
      <w:r>
        <w:rPr>
          <w:i/>
          <w:iCs/>
        </w:rPr>
        <w:t xml:space="preserve">Journal of Flood Risk Management</w:t>
      </w:r>
      <w:r>
        <w:t xml:space="preserve">,</w:t>
      </w:r>
      <w:r>
        <w:t xml:space="preserve"> </w:t>
      </w:r>
      <w:r>
        <w:rPr>
          <w:i/>
          <w:iCs/>
        </w:rPr>
        <w:t xml:space="preserve">16</w:t>
      </w:r>
      <w:r>
        <w:t xml:space="preserve">(3), e12913.</w:t>
      </w:r>
      <w:r>
        <w:t xml:space="preserve"> </w:t>
      </w:r>
      <w:hyperlink r:id="rId99">
        <w:r>
          <w:rPr>
            <w:rStyle w:val="Hyperlink"/>
          </w:rPr>
          <w:t xml:space="preserve">https://doi.org/10.1111/jfr3.12913</w:t>
        </w:r>
      </w:hyperlink>
    </w:p>
    <w:bookmarkEnd w:id="100"/>
    <w:bookmarkStart w:id="102" w:name="ref-sharma2026"/>
    <w:p>
      <w:pPr>
        <w:pStyle w:val="Bibliography"/>
      </w:pPr>
      <w:r>
        <w:t xml:space="preserve">Sharma, P., &amp; Sharma, S. (2026).</w:t>
      </w:r>
      <w:r>
        <w:t xml:space="preserve"> </w:t>
      </w:r>
      <w:r>
        <w:rPr>
          <w:i/>
          <w:iCs/>
        </w:rPr>
        <w:t xml:space="preserve">Flood risk follows valleys, not grids: Graph neural networks for flash flood susceptibility mapping in</w:t>
      </w:r>
      <w:r>
        <w:rPr>
          <w:i/>
          <w:iCs/>
        </w:rPr>
        <w:t xml:space="preserve"> </w:t>
      </w:r>
      <w:r>
        <w:rPr>
          <w:i/>
          <w:iCs/>
        </w:rPr>
        <w:t xml:space="preserve">Himachal Pradesh</w:t>
      </w:r>
      <w:r>
        <w:rPr>
          <w:i/>
          <w:iCs/>
        </w:rPr>
        <w:t xml:space="preserve"> </w:t>
      </w:r>
      <w:r>
        <w:rPr>
          <w:i/>
          <w:iCs/>
        </w:rPr>
        <w:t xml:space="preserve">with conformal uncertainty quantification</w:t>
      </w:r>
      <w:r>
        <w:t xml:space="preserve">. arXiv preprint 2603.15681, not peer reviewed.</w:t>
      </w:r>
      <w:r>
        <w:t xml:space="preserve"> </w:t>
      </w:r>
      <w:hyperlink r:id="rId101">
        <w:r>
          <w:rPr>
            <w:rStyle w:val="Hyperlink"/>
          </w:rPr>
          <w:t xml:space="preserve">https://doi.org/10.48550/arXiv.2603.15681</w:t>
        </w:r>
      </w:hyperlink>
    </w:p>
    <w:bookmarkEnd w:id="102"/>
    <w:bookmarkStart w:id="104"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103">
        <w:r>
          <w:rPr>
            <w:rStyle w:val="Hyperlink"/>
          </w:rPr>
          <w:t xml:space="preserve">https://doi.org/10.1111/jfr3.12770</w:t>
        </w:r>
      </w:hyperlink>
    </w:p>
    <w:bookmarkEnd w:id="104"/>
    <w:bookmarkStart w:id="106" w:name="ref-swarup2026"/>
    <w:p>
      <w:pPr>
        <w:pStyle w:val="Bibliography"/>
      </w:pPr>
      <w:r>
        <w:t xml:space="preserve">Swarup, S. D., &amp; Nury, A. H. (2026). Flood risk prioritization in data-scarce regions: A tri-dimensional</w:t>
      </w:r>
      <w:r>
        <w:t xml:space="preserve"> </w:t>
      </w:r>
      <w:r>
        <w:t xml:space="preserve">GIS-AHP</w:t>
      </w:r>
      <w:r>
        <w:t xml:space="preserve"> </w:t>
      </w:r>
      <w:r>
        <w:t xml:space="preserve">framework for northeastern</w:t>
      </w:r>
      <w:r>
        <w:t xml:space="preserve"> </w:t>
      </w:r>
      <w:r>
        <w:t xml:space="preserve">Bangladesh</w:t>
      </w:r>
      <w:r>
        <w:t xml:space="preserve">.</w:t>
      </w:r>
      <w:r>
        <w:t xml:space="preserve"> </w:t>
      </w:r>
      <w:r>
        <w:rPr>
          <w:i/>
          <w:iCs/>
        </w:rPr>
        <w:t xml:space="preserve">Journal of Water and Climate Change</w:t>
      </w:r>
      <w:r>
        <w:t xml:space="preserve">,</w:t>
      </w:r>
      <w:r>
        <w:t xml:space="preserve"> </w:t>
      </w:r>
      <w:r>
        <w:rPr>
          <w:i/>
          <w:iCs/>
        </w:rPr>
        <w:t xml:space="preserve">17</w:t>
      </w:r>
      <w:r>
        <w:t xml:space="preserve">, 1229–1256.</w:t>
      </w:r>
      <w:r>
        <w:t xml:space="preserve"> </w:t>
      </w:r>
      <w:hyperlink r:id="rId105">
        <w:r>
          <w:rPr>
            <w:rStyle w:val="Hyperlink"/>
          </w:rPr>
          <w:t xml:space="preserve">https://doi.org/10.2166/wcc.2026.264</w:t>
        </w:r>
      </w:hyperlink>
    </w:p>
    <w:bookmarkEnd w:id="106"/>
    <w:bookmarkStart w:id="108"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107">
        <w:r>
          <w:rPr>
            <w:rStyle w:val="Hyperlink"/>
          </w:rPr>
          <w:t xml:space="preserve">https://doi.org/10.1007/s00477-020-01862-5</w:t>
        </w:r>
      </w:hyperlink>
    </w:p>
    <w:bookmarkEnd w:id="108"/>
    <w:bookmarkStart w:id="110"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109">
        <w:r>
          <w:rPr>
            <w:rStyle w:val="Hyperlink"/>
          </w:rPr>
          <w:t xml:space="preserve">https://doi.org/10.1038/s41586-021-03695-w</w:t>
        </w:r>
      </w:hyperlink>
    </w:p>
    <w:bookmarkEnd w:id="110"/>
    <w:bookmarkStart w:id="112" w:name="ref-thomas2023"/>
    <w:p>
      <w:pPr>
        <w:pStyle w:val="Bibliography"/>
      </w:pPr>
      <w:r>
        <w:t xml:space="preserve">Thomas, M., Tellman, E., Osgood, D., DeVries, B., Islam, A., Steckler, M., Goodman, M., &amp; Billah, M. (2023). A framework to assess remote sensing algorithms for satellite-based flood index insurance.</w:t>
      </w:r>
      <w:r>
        <w:t xml:space="preserve"> </w:t>
      </w:r>
      <w:r>
        <w:rPr>
          <w:i/>
          <w:iCs/>
        </w:rPr>
        <w:t xml:space="preserve">IEEE Journal of Selected Topics in Applied Earth Observations and Remote Sensing</w:t>
      </w:r>
      <w:r>
        <w:t xml:space="preserve">,</w:t>
      </w:r>
      <w:r>
        <w:t xml:space="preserve"> </w:t>
      </w:r>
      <w:r>
        <w:rPr>
          <w:i/>
          <w:iCs/>
        </w:rPr>
        <w:t xml:space="preserve">16</w:t>
      </w:r>
      <w:r>
        <w:t xml:space="preserve">, 2589–2604.</w:t>
      </w:r>
      <w:r>
        <w:t xml:space="preserve"> </w:t>
      </w:r>
      <w:hyperlink r:id="rId111">
        <w:r>
          <w:rPr>
            <w:rStyle w:val="Hyperlink"/>
          </w:rPr>
          <w:t xml:space="preserve">https://doi.org/10.1109/JSTARS.2023.3244098</w:t>
        </w:r>
      </w:hyperlink>
    </w:p>
    <w:bookmarkEnd w:id="112"/>
    <w:bookmarkStart w:id="114"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113">
        <w:r>
          <w:rPr>
            <w:rStyle w:val="Hyperlink"/>
          </w:rPr>
          <w:t xml:space="preserve">https://doi.org/10.1080/01431161.2016.1192304</w:t>
        </w:r>
      </w:hyperlink>
    </w:p>
    <w:bookmarkEnd w:id="114"/>
    <w:bookmarkStart w:id="116"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115">
        <w:r>
          <w:rPr>
            <w:rStyle w:val="Hyperlink"/>
          </w:rPr>
          <w:t xml:space="preserve">https://doi.org/10.3390/rs11131581</w:t>
        </w:r>
      </w:hyperlink>
    </w:p>
    <w:bookmarkEnd w:id="116"/>
    <w:bookmarkStart w:id="118"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117">
        <w:r>
          <w:rPr>
            <w:rStyle w:val="Hyperlink"/>
          </w:rPr>
          <w:t xml:space="preserve">https://un-spider.org/advisory-support/recommended-practices/recommended-practice-google-earth-engine-flood-mapping</w:t>
        </w:r>
      </w:hyperlink>
      <w:r>
        <w:t xml:space="preserve">.</w:t>
      </w:r>
    </w:p>
    <w:bookmarkEnd w:id="118"/>
    <w:bookmarkStart w:id="120"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119">
        <w:r>
          <w:rPr>
            <w:rStyle w:val="Hyperlink"/>
          </w:rPr>
          <w:t xml:space="preserve">https://doi.org/10.1016/j.ecolmodel.2021.109692</w:t>
        </w:r>
      </w:hyperlink>
    </w:p>
    <w:bookmarkEnd w:id="120"/>
    <w:bookmarkStart w:id="122" w:name="ref-waleed2025"/>
    <w:p>
      <w:pPr>
        <w:pStyle w:val="Bibliography"/>
      </w:pPr>
      <w:r>
        <w:t xml:space="preserve">Waleed, M., &amp; Sajjad, M. (2025).</w:t>
      </w:r>
      <w:r>
        <w:t xml:space="preserve"> </w:t>
      </w:r>
      <w:r>
        <w:t xml:space="preserve">Advancing flood susceptibility prediction: A comparative assessment and scalability analysis of machine learning algorithms via artificial intelligence in high-risk regions of Pakistan</w:t>
      </w:r>
      <w:r>
        <w:t xml:space="preserve">.</w:t>
      </w:r>
      <w:r>
        <w:t xml:space="preserve"> </w:t>
      </w:r>
      <w:r>
        <w:rPr>
          <w:i/>
          <w:iCs/>
        </w:rPr>
        <w:t xml:space="preserve">Journal of Flood Risk Management</w:t>
      </w:r>
      <w:r>
        <w:t xml:space="preserve">,</w:t>
      </w:r>
      <w:r>
        <w:t xml:space="preserve"> </w:t>
      </w:r>
      <w:r>
        <w:rPr>
          <w:i/>
          <w:iCs/>
        </w:rPr>
        <w:t xml:space="preserve">18</w:t>
      </w:r>
      <w:r>
        <w:t xml:space="preserve">(1), e13047.</w:t>
      </w:r>
      <w:r>
        <w:t xml:space="preserve"> </w:t>
      </w:r>
      <w:hyperlink r:id="rId121">
        <w:r>
          <w:rPr>
            <w:rStyle w:val="Hyperlink"/>
          </w:rPr>
          <w:t xml:space="preserve">https://doi.org/10.1111/jfr3.13047</w:t>
        </w:r>
      </w:hyperlink>
    </w:p>
    <w:bookmarkEnd w:id="122"/>
    <w:bookmarkStart w:id="124" w:name="ref-wang2023"/>
    <w:p>
      <w:pPr>
        <w:pStyle w:val="Bibliography"/>
      </w:pPr>
      <w:r>
        <w:t xml:space="preserve">Wang, X., Du, A., Hu, F., Liu, Z., Zhang, X., Wang, L., &amp; Guo, H. (2023).</w:t>
      </w:r>
      <w:r>
        <w:t xml:space="preserve"> </w:t>
      </w:r>
      <w:r>
        <w:t xml:space="preserve">Landslide susceptibility evaluation based on active deformation and graph convolutional network algorithm</w:t>
      </w:r>
      <w:r>
        <w:t xml:space="preserve">.</w:t>
      </w:r>
      <w:r>
        <w:t xml:space="preserve"> </w:t>
      </w:r>
      <w:r>
        <w:rPr>
          <w:i/>
          <w:iCs/>
        </w:rPr>
        <w:t xml:space="preserve">Frontiers in Earth Science</w:t>
      </w:r>
      <w:r>
        <w:t xml:space="preserve">,</w:t>
      </w:r>
      <w:r>
        <w:t xml:space="preserve"> </w:t>
      </w:r>
      <w:r>
        <w:rPr>
          <w:i/>
          <w:iCs/>
        </w:rPr>
        <w:t xml:space="preserve">11</w:t>
      </w:r>
      <w:r>
        <w:t xml:space="preserve">, 1132722.</w:t>
      </w:r>
      <w:r>
        <w:t xml:space="preserve"> </w:t>
      </w:r>
      <w:hyperlink r:id="rId123">
        <w:r>
          <w:rPr>
            <w:rStyle w:val="Hyperlink"/>
          </w:rPr>
          <w:t xml:space="preserve">https://doi.org/10.3389/feart.2023.1132722</w:t>
        </w:r>
      </w:hyperlink>
    </w:p>
    <w:bookmarkEnd w:id="124"/>
    <w:bookmarkStart w:id="126" w:name="ref-wanggat2023"/>
    <w:p>
      <w:pPr>
        <w:pStyle w:val="Bibliography"/>
      </w:pPr>
      <w:r>
        <w:t xml:space="preserve">Wang, Z., Lyu, H., &amp; Zhang, C. (2023). Pluvial flood susceptibility mapping for data-scarce urban areas using graph attention network and basic flood conditioning factors.</w:t>
      </w:r>
      <w:r>
        <w:t xml:space="preserve"> </w:t>
      </w:r>
      <w:r>
        <w:rPr>
          <w:i/>
          <w:iCs/>
        </w:rPr>
        <w:t xml:space="preserve">Geocarto International</w:t>
      </w:r>
      <w:r>
        <w:t xml:space="preserve">,</w:t>
      </w:r>
      <w:r>
        <w:t xml:space="preserve"> </w:t>
      </w:r>
      <w:r>
        <w:rPr>
          <w:i/>
          <w:iCs/>
        </w:rPr>
        <w:t xml:space="preserve">38</w:t>
      </w:r>
      <w:r>
        <w:t xml:space="preserve">, 2275692.</w:t>
      </w:r>
      <w:r>
        <w:t xml:space="preserve"> </w:t>
      </w:r>
      <w:hyperlink r:id="rId125">
        <w:r>
          <w:rPr>
            <w:rStyle w:val="Hyperlink"/>
          </w:rPr>
          <w:t xml:space="preserve">https://doi.org/10.1080/10106049.2023.2275692</w:t>
        </w:r>
      </w:hyperlink>
    </w:p>
    <w:bookmarkEnd w:id="126"/>
    <w:bookmarkStart w:id="128" w:name="ref-williams2025"/>
    <w:p>
      <w:pPr>
        <w:pStyle w:val="Bibliography"/>
      </w:pPr>
      <w:r>
        <w:t xml:space="preserve">Williams, J. H., Vu, H. N., Paulik, R., Zorn, C., &amp; Wotherspoon, L. (2025).</w:t>
      </w:r>
      <w:r>
        <w:t xml:space="preserve"> </w:t>
      </w:r>
      <w:r>
        <w:t xml:space="preserve">Expert-Derived Flood Damage Curves for Critical Infrastructure Network Components</w:t>
      </w:r>
      <w:r>
        <w:t xml:space="preserve">.</w:t>
      </w:r>
      <w:r>
        <w:t xml:space="preserve"> </w:t>
      </w:r>
      <w:r>
        <w:rPr>
          <w:i/>
          <w:iCs/>
        </w:rPr>
        <w:t xml:space="preserve">Journal of Flood Risk Management</w:t>
      </w:r>
      <w:r>
        <w:t xml:space="preserve">,</w:t>
      </w:r>
      <w:r>
        <w:t xml:space="preserve"> </w:t>
      </w:r>
      <w:r>
        <w:rPr>
          <w:i/>
          <w:iCs/>
        </w:rPr>
        <w:t xml:space="preserve">18</w:t>
      </w:r>
      <w:r>
        <w:t xml:space="preserve">(2), e70045.</w:t>
      </w:r>
      <w:r>
        <w:t xml:space="preserve"> </w:t>
      </w:r>
      <w:hyperlink r:id="rId127">
        <w:r>
          <w:rPr>
            <w:rStyle w:val="Hyperlink"/>
          </w:rPr>
          <w:t xml:space="preserve">https://doi.org/10.1111/jfr3.70045</w:t>
        </w:r>
      </w:hyperlink>
    </w:p>
    <w:bookmarkEnd w:id="128"/>
    <w:bookmarkStart w:id="130"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29">
        <w:r>
          <w:rPr>
            <w:rStyle w:val="Hyperlink"/>
          </w:rPr>
          <w:t xml:space="preserve">https://doi.org/10.1145/775047.775151</w:t>
        </w:r>
      </w:hyperlink>
    </w:p>
    <w:bookmarkEnd w:id="130"/>
    <w:bookmarkStart w:id="132"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31">
        <w:r>
          <w:rPr>
            <w:rStyle w:val="Hyperlink"/>
          </w:rPr>
          <w:t xml:space="preserve">https://doi.org/10.1111/jfr3.12715</w:t>
        </w:r>
      </w:hyperlink>
    </w:p>
    <w:bookmarkEnd w:id="132"/>
    <w:bookmarkEnd w:id="133"/>
    <w:bookmarkEnd w:id="134"/>
    <w:bookmarkStart w:id="142" w:name="tables"/>
    <w:p>
      <w:pPr>
        <w:pStyle w:val="Heading1"/>
      </w:pPr>
      <w:r>
        <w:t xml:space="preserve">Tables</w:t>
      </w:r>
    </w:p>
    <w:bookmarkStart w:id="135" w:name="tab:litflood"/>
    <w:p>
      <w:pPr>
        <w:pStyle w:val="TableCaption"/>
      </w:pPr>
      <w:r>
        <w:t xml:space="preserve">Table 1. Flood susceptibility studies in Bangladesh compared with this system. Every study was read in full except</w:t>
      </w:r>
      <w:r>
        <w:t xml:space="preserve"> </w:t>
      </w:r>
      <w:r>
        <w:t xml:space="preserve">Swarup &amp; Nury (2026)</w:t>
      </w:r>
      <w:r>
        <w:t xml:space="preserve">, whose entries come from its abstract,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ystem. Every study was read in full except Swarup &amp; Nury (2026), whose entries come from its abstract,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Swarup &amp; Nury (2026)</w:t>
            </w:r>
          </w:p>
        </w:tc>
        <w:tc>
          <w:tcPr/>
          <w:p>
            <w:pPr>
              <w:pStyle w:val="Compact"/>
              <w:jc w:val="left"/>
            </w:pPr>
            <w:r>
              <w:t xml:space="preserve">Sylhet division</w:t>
            </w:r>
          </w:p>
        </w:tc>
        <w:tc>
          <w:tcPr/>
          <w:p>
            <w:pPr>
              <w:pStyle w:val="Compact"/>
              <w:jc w:val="left"/>
            </w:pPr>
            <w:r>
              <w:t xml:space="preserve">AHP, 19 indicators</w:t>
            </w:r>
          </w:p>
        </w:tc>
        <w:tc>
          <w:tcPr/>
          <w:p>
            <w:pPr>
              <w:pStyle w:val="Compact"/>
              <w:jc w:val="left"/>
            </w:pPr>
            <w:r>
              <w:t xml:space="preserve">independent flood inventories of June 2022 and June 2024, no training data</w:t>
            </w:r>
          </w:p>
        </w:tc>
        <w:tc>
          <w:tcPr/>
          <w:p>
            <w:pPr>
              <w:pStyle w:val="Compact"/>
              <w:jc w:val="left"/>
            </w:pPr>
            <w:r>
              <w:t xml:space="preserve">AUC 0.836 (2022), 0.794 (2024)</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system</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system</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system</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35"/>
    <w:bookmarkStart w:id="136" w:name="tab:regions"/>
    <w:p>
      <w:pPr>
        <w:pStyle w:val="TableCaption"/>
      </w:pPr>
      <w:r>
        <w:t xml:space="preserve">Table 2. Configured study regions.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bl>
    <w:bookmarkEnd w:id="136"/>
    <w:bookmarkStart w:id="137" w:name="tab:data"/>
    <w:p>
      <w:pPr>
        <w:pStyle w:val="TableCaption"/>
      </w:pPr>
      <w:r>
        <w:t xml:space="preserve">Table 3. Datasets ingested by the pipeline.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37"/>
    <w:bookmarkStart w:id="138"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situation reports,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situation reports,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bl>
    <w:bookmarkEnd w:id="138"/>
    <w:bookmarkStart w:id="139"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Table 7.</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able 7."/>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39"/>
    <w:bookmarkStart w:id="140"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and 2.9 % of assets in the three regions.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and 2.9 % of assets in the three region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bl>
    <w:bookmarkEnd w:id="140"/>
    <w:bookmarkStart w:id="141" w:name="tab:benchmark"/>
    <w:p>
      <w:pPr>
        <w:pStyle w:val="TableCaption"/>
      </w:pPr>
      <w:r>
        <w:t xml:space="preserve">Table 7. AUC on held-out test blocks, as mean</w:t>
      </w:r>
      <w:r>
        <w:t xml:space="preserve"> </w:t>
      </w:r>
      <m:oMath>
        <m:r>
          <m:rPr>
            <m:sty m:val="p"/>
          </m:rPr>
          <m:t>±</m:t>
        </m:r>
      </m:oMath>
      <w:r>
        <w:t xml:space="preserve"> </w:t>
      </w:r>
      <w:r>
        <w:t xml:space="preserve">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w:t>
      </w:r>
    </w:p>
    <w:tbl>
      <w:tblPr>
        <w:tblStyle w:val="Table"/>
        <w:tblW w:type="auto" w:w="0"/>
        <w:tblLook w:firstRow="1" w:lastRow="0" w:firstColumn="0" w:lastColumn="0" w:noHBand="0" w:noVBand="0" w:val="0020"/>
        <w:tblCaption w:val="Table 7. AUC on held-out test blocks, as mean \pm 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Rangpur &amp; Rajshahi</w:t>
            </w:r>
          </w:p>
        </w:tc>
        <w:tc>
          <w:tcPr/>
          <w:p>
            <w:pPr>
              <w:pStyle w:val="Compact"/>
              <w:jc w:val="center"/>
            </w:pPr>
            <w:r>
              <w:t xml:space="preserve">Sylhet</w:t>
            </w:r>
          </w:p>
        </w:tc>
        <w:tc>
          <w:tcPr/>
          <w:p>
            <w:pPr>
              <w:pStyle w:val="Compact"/>
              <w:jc w:val="center"/>
            </w:pPr>
            <w:r>
              <w:t xml:space="preserve">South-west coast</w:t>
            </w:r>
          </w:p>
        </w:tc>
      </w:tr>
      <w:tr>
        <w:tc>
          <w:tcPr/>
          <w:p>
            <w:pPr>
              <w:pStyle w:val="Compact"/>
              <w:jc w:val="left"/>
            </w:pPr>
            <w:r>
              <w:t xml:space="preserve">Graph model (GraphSAGE)</w:t>
            </w:r>
          </w:p>
        </w:tc>
        <w:tc>
          <w:tcPr/>
          <w:p>
            <w:pPr>
              <w:pStyle w:val="Compact"/>
              <w:jc w:val="center"/>
            </w:pPr>
            <w:r>
              <w:t xml:space="preserve">0.789</w:t>
            </w:r>
            <w:r>
              <w:t xml:space="preserve"> </w:t>
            </w:r>
            <m:oMath>
              <m:r>
                <m:rPr>
                  <m:sty m:val="p"/>
                </m:rPr>
                <m:t>±</m:t>
              </m:r>
            </m:oMath>
            <w:r>
              <w:t xml:space="preserve"> </w:t>
            </w:r>
            <w:r>
              <w:t xml:space="preserve">0.047</w:t>
            </w:r>
          </w:p>
        </w:tc>
        <w:tc>
          <w:tcPr/>
          <w:p>
            <w:pPr>
              <w:pStyle w:val="Compact"/>
              <w:jc w:val="center"/>
            </w:pPr>
            <w:r>
              <w:t xml:space="preserve">0.854</w:t>
            </w:r>
            <w:r>
              <w:t xml:space="preserve"> </w:t>
            </w:r>
            <m:oMath>
              <m:r>
                <m:rPr>
                  <m:sty m:val="p"/>
                </m:rPr>
                <m:t>±</m:t>
              </m:r>
            </m:oMath>
            <w:r>
              <w:t xml:space="preserve"> </w:t>
            </w:r>
            <w:r>
              <w:t xml:space="preserve">0.039</w:t>
            </w:r>
          </w:p>
        </w:tc>
        <w:tc>
          <w:tcPr/>
          <w:p>
            <w:pPr>
              <w:pStyle w:val="Compact"/>
              <w:jc w:val="center"/>
            </w:pPr>
            <w:r>
              <w:t xml:space="preserve">0.817</w:t>
            </w:r>
            <w:r>
              <w:t xml:space="preserve"> </w:t>
            </w:r>
            <m:oMath>
              <m:r>
                <m:rPr>
                  <m:sty m:val="p"/>
                </m:rPr>
                <m:t>±</m:t>
              </m:r>
            </m:oMath>
            <w:r>
              <w:t xml:space="preserve"> </w:t>
            </w:r>
            <w:r>
              <w:t xml:space="preserve">0.057</w:t>
            </w:r>
          </w:p>
        </w:tc>
      </w:tr>
      <w:tr>
        <w:tc>
          <w:tcPr/>
          <w:p>
            <w:pPr>
              <w:pStyle w:val="Compact"/>
              <w:jc w:val="left"/>
            </w:pPr>
            <w:r>
              <w:t xml:space="preserve">Gradient boosting</w:t>
            </w:r>
          </w:p>
        </w:tc>
        <w:tc>
          <w:tcPr/>
          <w:p>
            <w:pPr>
              <w:pStyle w:val="Compact"/>
              <w:jc w:val="center"/>
            </w:pPr>
            <w:r>
              <w:t xml:space="preserve">0.817</w:t>
            </w:r>
            <w:r>
              <w:t xml:space="preserve"> </w:t>
            </w:r>
            <m:oMath>
              <m:r>
                <m:rPr>
                  <m:sty m:val="p"/>
                </m:rPr>
                <m:t>±</m:t>
              </m:r>
            </m:oMath>
            <w:r>
              <w:t xml:space="preserve"> </w:t>
            </w:r>
            <w:r>
              <w:t xml:space="preserve">0.045</w:t>
            </w:r>
          </w:p>
        </w:tc>
        <w:tc>
          <w:tcPr/>
          <w:p>
            <w:pPr>
              <w:pStyle w:val="Compact"/>
              <w:jc w:val="center"/>
            </w:pPr>
            <w:r>
              <w:t xml:space="preserve">0.857</w:t>
            </w:r>
            <w:r>
              <w:t xml:space="preserve"> </w:t>
            </w:r>
            <m:oMath>
              <m:r>
                <m:rPr>
                  <m:sty m:val="p"/>
                </m:rPr>
                <m:t>±</m:t>
              </m:r>
            </m:oMath>
            <w:r>
              <w:t xml:space="preserve"> </w:t>
            </w:r>
            <w:r>
              <w:t xml:space="preserve">0.042</w:t>
            </w:r>
          </w:p>
        </w:tc>
        <w:tc>
          <w:tcPr/>
          <w:p>
            <w:pPr>
              <w:pStyle w:val="Compact"/>
              <w:jc w:val="center"/>
            </w:pPr>
            <w:r>
              <w:t xml:space="preserve">0.839</w:t>
            </w:r>
            <w:r>
              <w:t xml:space="preserve"> </w:t>
            </w:r>
            <m:oMath>
              <m:r>
                <m:rPr>
                  <m:sty m:val="p"/>
                </m:rPr>
                <m:t>±</m:t>
              </m:r>
            </m:oMath>
            <w:r>
              <w:t xml:space="preserve"> </w:t>
            </w:r>
            <w:r>
              <w:t xml:space="preserve">0.046</w:t>
            </w:r>
          </w:p>
        </w:tc>
      </w:tr>
      <w:tr>
        <w:tc>
          <w:tcPr/>
          <w:p>
            <w:pPr>
              <w:pStyle w:val="Compact"/>
              <w:jc w:val="left"/>
            </w:pPr>
            <w:r>
              <w:t xml:space="preserve">Random forest</w:t>
            </w:r>
          </w:p>
        </w:tc>
        <w:tc>
          <w:tcPr/>
          <w:p>
            <w:pPr>
              <w:pStyle w:val="Compact"/>
              <w:jc w:val="center"/>
            </w:pPr>
            <w:r>
              <w:t xml:space="preserve">0.816</w:t>
            </w:r>
            <w:r>
              <w:t xml:space="preserve"> </w:t>
            </w:r>
            <m:oMath>
              <m:r>
                <m:rPr>
                  <m:sty m:val="p"/>
                </m:rPr>
                <m:t>±</m:t>
              </m:r>
            </m:oMath>
            <w:r>
              <w:t xml:space="preserve"> </w:t>
            </w:r>
            <w:r>
              <w:t xml:space="preserve">0.044</w:t>
            </w:r>
          </w:p>
        </w:tc>
        <w:tc>
          <w:tcPr/>
          <w:p>
            <w:pPr>
              <w:pStyle w:val="Compact"/>
              <w:jc w:val="center"/>
            </w:pPr>
            <w:r>
              <w:t xml:space="preserve">0.845</w:t>
            </w:r>
            <w:r>
              <w:t xml:space="preserve"> </w:t>
            </w:r>
            <m:oMath>
              <m:r>
                <m:rPr>
                  <m:sty m:val="p"/>
                </m:rPr>
                <m:t>±</m:t>
              </m:r>
            </m:oMath>
            <w:r>
              <w:t xml:space="preserve"> </w:t>
            </w:r>
            <w:r>
              <w:t xml:space="preserve">0.052</w:t>
            </w:r>
          </w:p>
        </w:tc>
        <w:tc>
          <w:tcPr/>
          <w:p>
            <w:pPr>
              <w:pStyle w:val="Compact"/>
              <w:jc w:val="center"/>
            </w:pPr>
            <w:r>
              <w:t xml:space="preserve">0.838</w:t>
            </w:r>
            <w:r>
              <w:t xml:space="preserve"> </w:t>
            </w:r>
            <m:oMath>
              <m:r>
                <m:rPr>
                  <m:sty m:val="p"/>
                </m:rPr>
                <m:t>±</m:t>
              </m:r>
            </m:oMath>
            <w:r>
              <w:t xml:space="preserve"> </w:t>
            </w:r>
            <w:r>
              <w:t xml:space="preserve">0.049</w:t>
            </w:r>
          </w:p>
        </w:tc>
      </w:tr>
      <w:tr>
        <w:tc>
          <w:tcPr/>
          <w:p>
            <w:pPr>
              <w:pStyle w:val="Compact"/>
              <w:jc w:val="left"/>
            </w:pPr>
            <w:r>
              <w:t xml:space="preserve">Logistic regression</w:t>
            </w:r>
          </w:p>
        </w:tc>
        <w:tc>
          <w:tcPr/>
          <w:p>
            <w:pPr>
              <w:pStyle w:val="Compact"/>
              <w:jc w:val="center"/>
            </w:pPr>
            <w:r>
              <w:t xml:space="preserve">0.786</w:t>
            </w:r>
            <w:r>
              <w:t xml:space="preserve"> </w:t>
            </w:r>
            <m:oMath>
              <m:r>
                <m:rPr>
                  <m:sty m:val="p"/>
                </m:rPr>
                <m:t>±</m:t>
              </m:r>
            </m:oMath>
            <w:r>
              <w:t xml:space="preserve"> </w:t>
            </w:r>
            <w:r>
              <w:t xml:space="preserve">0.039</w:t>
            </w:r>
          </w:p>
        </w:tc>
        <w:tc>
          <w:tcPr/>
          <w:p>
            <w:pPr>
              <w:pStyle w:val="Compact"/>
              <w:jc w:val="center"/>
            </w:pPr>
            <w:r>
              <w:t xml:space="preserve">0.855</w:t>
            </w:r>
            <w:r>
              <w:t xml:space="preserve"> </w:t>
            </w:r>
            <m:oMath>
              <m:r>
                <m:rPr>
                  <m:sty m:val="p"/>
                </m:rPr>
                <m:t>±</m:t>
              </m:r>
            </m:oMath>
            <w:r>
              <w:t xml:space="preserve"> </w:t>
            </w:r>
            <w:r>
              <w:t xml:space="preserve">0.036</w:t>
            </w:r>
          </w:p>
        </w:tc>
        <w:tc>
          <w:tcPr/>
          <w:p>
            <w:pPr>
              <w:pStyle w:val="Compact"/>
              <w:jc w:val="center"/>
            </w:pPr>
            <w:r>
              <w:t xml:space="preserve">0.809</w:t>
            </w:r>
            <w:r>
              <w:t xml:space="preserve"> </w:t>
            </w:r>
            <m:oMath>
              <m:r>
                <m:rPr>
                  <m:sty m:val="p"/>
                </m:rPr>
                <m:t>±</m:t>
              </m:r>
            </m:oMath>
            <w:r>
              <w:t xml:space="preserve"> </w:t>
            </w:r>
            <w:r>
              <w:t xml:space="preserve">0.046</w:t>
            </w:r>
          </w:p>
        </w:tc>
      </w:tr>
      <w:tr>
        <w:tc>
          <w:tcPr/>
          <w:p>
            <w:pPr>
              <w:pStyle w:val="Compact"/>
              <w:jc w:val="left"/>
            </w:pPr>
            <w:r>
              <w:t xml:space="preserve">Wetness index alone</w:t>
            </w:r>
          </w:p>
        </w:tc>
        <w:tc>
          <w:tcPr/>
          <w:p>
            <w:pPr>
              <w:pStyle w:val="Compact"/>
              <w:jc w:val="center"/>
            </w:pPr>
            <w:r>
              <w:t xml:space="preserve">0.517</w:t>
            </w:r>
            <w:r>
              <w:t xml:space="preserve"> </w:t>
            </w:r>
            <m:oMath>
              <m:r>
                <m:rPr>
                  <m:sty m:val="p"/>
                </m:rPr>
                <m:t>±</m:t>
              </m:r>
            </m:oMath>
            <w:r>
              <w:t xml:space="preserve"> </w:t>
            </w:r>
            <w:r>
              <w:t xml:space="preserve">0.030</w:t>
            </w:r>
          </w:p>
        </w:tc>
        <w:tc>
          <w:tcPr/>
          <w:p>
            <w:pPr>
              <w:pStyle w:val="Compact"/>
              <w:jc w:val="center"/>
            </w:pPr>
            <w:r>
              <w:t xml:space="preserve">0.535</w:t>
            </w:r>
            <w:r>
              <w:t xml:space="preserve"> </w:t>
            </w:r>
            <m:oMath>
              <m:r>
                <m:rPr>
                  <m:sty m:val="p"/>
                </m:rPr>
                <m:t>±</m:t>
              </m:r>
            </m:oMath>
            <w:r>
              <w:t xml:space="preserve"> </w:t>
            </w:r>
            <w:r>
              <w:t xml:space="preserve">0.029</w:t>
            </w:r>
          </w:p>
        </w:tc>
        <w:tc>
          <w:tcPr/>
          <w:p>
            <w:pPr>
              <w:pStyle w:val="Compact"/>
              <w:jc w:val="center"/>
            </w:pPr>
            <w:r>
              <w:t xml:space="preserve">0.577</w:t>
            </w:r>
            <w:r>
              <w:t xml:space="preserve"> </w:t>
            </w:r>
            <m:oMath>
              <m:r>
                <m:rPr>
                  <m:sty m:val="p"/>
                </m:rPr>
                <m:t>±</m:t>
              </m:r>
            </m:oMath>
            <w:r>
              <w:t xml:space="preserve"> </w:t>
            </w:r>
            <w:r>
              <w:t xml:space="preserve">0.041</w:t>
            </w:r>
          </w:p>
        </w:tc>
      </w:tr>
      <w:tr>
        <w:tc>
          <w:tcPr/>
          <w:p>
            <w:pPr>
              <w:pStyle w:val="Compact"/>
              <w:jc w:val="left"/>
            </w:pPr>
            <w:r>
              <w:t xml:space="preserve">Graph minus best baseline</w:t>
            </w:r>
          </w:p>
        </w:tc>
        <w:tc>
          <w:tcPr/>
          <w:p>
            <w:pPr>
              <w:pStyle w:val="Compact"/>
              <w:jc w:val="center"/>
            </w:pPr>
            <w:r>
              <w:t xml:space="preserve">-0.028</w:t>
            </w:r>
          </w:p>
        </w:tc>
        <w:tc>
          <w:tcPr/>
          <w:p>
            <w:pPr>
              <w:pStyle w:val="Compact"/>
              <w:jc w:val="center"/>
            </w:pPr>
            <w:r>
              <w:t xml:space="preserve">-0.003</w:t>
            </w:r>
          </w:p>
        </w:tc>
        <w:tc>
          <w:tcPr/>
          <w:p>
            <w:pPr>
              <w:pStyle w:val="Compact"/>
              <w:jc w:val="center"/>
            </w:pPr>
            <w:r>
              <w:t xml:space="preserve">-0.022</w:t>
            </w:r>
          </w:p>
        </w:tc>
      </w:tr>
    </w:tbl>
    <w:bookmarkEnd w:id="141"/>
    <w:bookmarkEnd w:id="142"/>
    <w:bookmarkStart w:id="143"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The processing chain, top to bottom. Source counts are totals over the three flood regions. Each asset enters the models as a vector of terrain, population, access-distance and asset-type features, with a label from the Sentinel-1 flood frequency. The asset model is expanded, with the graph network it replaced shown as the alternative it now is. Both models train on the same spatial blocks, and dashed connectors mark what the validation scores on the test blocks.</w:t>
      </w:r>
    </w:p>
    <w:p>
      <w:pPr>
        <w:pStyle w:val="BodyText"/>
      </w:pPr>
      <w:r>
        <w:rPr>
          <w:b/>
          <w:bCs/>
        </w:rPr>
        <w:t xml:space="preserve">Figure 3.</w:t>
      </w:r>
      <w:r>
        <w:t xml:space="preserve"> </w:t>
      </w:r>
      <w:r>
        <w:t xml:space="preserve">Mean infrastructure composite risk of each union in the three flood regions, in five relative classes by quintile of the unions scored in each region. Unions without mapped assets carry no score and are shaded as missing data, not as low risk. On the south-west coast the hazard term is close to chance against observed flooding (Section 5), so that panel reflects mapped exposure and vulnerability more than flood hazard.</w:t>
      </w:r>
    </w:p>
    <w:p>
      <w:pPr>
        <w:pStyle w:val="BodyText"/>
      </w:pPr>
      <w:r>
        <w:rPr>
          <w:b/>
          <w:bCs/>
        </w:rPr>
        <w:t xml:space="preserve">Figure 4.</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5.</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6.</w:t>
      </w:r>
      <w:r>
        <w:t xml:space="preserve"> </w:t>
      </w:r>
      <w:r>
        <w:t xml:space="preserve">AUC of each model on the held-out test blocks, one circle per block assignment and a vertical bar at the mean. The graph network is in blue, the other models in orange, and the dotted line marks a random ranking. The graph network sits inside the range of the ordinary models in every region.</w:t>
      </w:r>
    </w:p>
    <w:p>
      <w:pPr>
        <w:pStyle w:val="BodyText"/>
      </w:pPr>
      <w:r>
        <w:rPr>
          <w:b/>
          <w:bCs/>
        </w:rPr>
        <w:t xml:space="preserve">Figure 7.</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5" Target="https://arxiv.org/abs/1706.02216" TargetMode="External" /><Relationship Type="http://schemas.openxmlformats.org/officeDocument/2006/relationships/hyperlink" Id="rId107" Target="https://doi.org/10.1007/s00477-020-01862-5" TargetMode="External" /><Relationship Type="http://schemas.openxmlformats.org/officeDocument/2006/relationships/hyperlink" Id="rId81" Target="https://doi.org/10.1016/j.catena.2025.109029" TargetMode="External" /><Relationship Type="http://schemas.openxmlformats.org/officeDocument/2006/relationships/hyperlink" Id="rId119" Target="https://doi.org/10.1016/j.ecolmodel.2021.109692" TargetMode="External" /><Relationship Type="http://schemas.openxmlformats.org/officeDocument/2006/relationships/hyperlink" Id="rId75" Target="https://doi.org/10.1016/j.envc.2023.100833" TargetMode="External" /><Relationship Type="http://schemas.openxmlformats.org/officeDocument/2006/relationships/hyperlink" Id="rId61" Target="https://doi.org/10.1016/j.geomorph.2006.04.007" TargetMode="External" /><Relationship Type="http://schemas.openxmlformats.org/officeDocument/2006/relationships/hyperlink" Id="rId73" Target="https://doi.org/10.1016/j.gsf.2020.09.006" TargetMode="External" /><Relationship Type="http://schemas.openxmlformats.org/officeDocument/2006/relationships/hyperlink" Id="rId97" Target="https://doi.org/10.1016/j.heliyon.2023.e16459" TargetMode="External" /><Relationship Type="http://schemas.openxmlformats.org/officeDocument/2006/relationships/hyperlink" Id="rId45" Target="https://doi.org/10.1016/j.jenvman.2022.116813" TargetMode="External" /><Relationship Type="http://schemas.openxmlformats.org/officeDocument/2006/relationships/hyperlink" Id="rId87" Target="https://doi.org/10.1016/j.jhydrol.2011.03.051" TargetMode="External" /><Relationship Type="http://schemas.openxmlformats.org/officeDocument/2006/relationships/hyperlink" Id="rId83" Target="https://doi.org/10.1023/A:1024068626366" TargetMode="External" /><Relationship Type="http://schemas.openxmlformats.org/officeDocument/2006/relationships/hyperlink" Id="rId53" Target="https://doi.org/10.1023/B:NHAZ.0000007172.62651.2b" TargetMode="External" /><Relationship Type="http://schemas.openxmlformats.org/officeDocument/2006/relationships/hyperlink" Id="rId79" Target="https://doi.org/10.1029/2025WR041360" TargetMode="External" /><Relationship Type="http://schemas.openxmlformats.org/officeDocument/2006/relationships/hyperlink" Id="rId89" Target="https://doi.org/10.1038/nature20584" TargetMode="External" /><Relationship Type="http://schemas.openxmlformats.org/officeDocument/2006/relationships/hyperlink" Id="rId77" Target="https://doi.org/10.1038/s41467-019-10442-3" TargetMode="External" /><Relationship Type="http://schemas.openxmlformats.org/officeDocument/2006/relationships/hyperlink" Id="rId91" Target="https://doi.org/10.1038/s41467-020-18321-y" TargetMode="External" /><Relationship Type="http://schemas.openxmlformats.org/officeDocument/2006/relationships/hyperlink" Id="rId71" Target="https://doi.org/10.1038/s41467-023-39698-6" TargetMode="External" /><Relationship Type="http://schemas.openxmlformats.org/officeDocument/2006/relationships/hyperlink" Id="rId109" Target="https://doi.org/10.1038/s41586-021-03695-w" TargetMode="External" /><Relationship Type="http://schemas.openxmlformats.org/officeDocument/2006/relationships/hyperlink" Id="rId113" Target="https://doi.org/10.1080/01431161.2016.1192304" TargetMode="External" /><Relationship Type="http://schemas.openxmlformats.org/officeDocument/2006/relationships/hyperlink" Id="rId51" Target="https://doi.org/10.1080/02626667909491834" TargetMode="External" /><Relationship Type="http://schemas.openxmlformats.org/officeDocument/2006/relationships/hyperlink" Id="rId125" Target="https://doi.org/10.1080/10106049.2023.2275692" TargetMode="External" /><Relationship Type="http://schemas.openxmlformats.org/officeDocument/2006/relationships/hyperlink" Id="rId67" Target="https://doi.org/10.1088/1748-9326/abc216" TargetMode="External" /><Relationship Type="http://schemas.openxmlformats.org/officeDocument/2006/relationships/hyperlink" Id="rId69" Target="https://doi.org/10.1088/1748-9326/ac4d4f" TargetMode="External" /><Relationship Type="http://schemas.openxmlformats.org/officeDocument/2006/relationships/hyperlink" Id="rId59" Target="https://doi.org/10.1109/CVPRW59228.2023.00209" TargetMode="External" /><Relationship Type="http://schemas.openxmlformats.org/officeDocument/2006/relationships/hyperlink" Id="rId111" Target="https://doi.org/10.1109/JSTARS.2023.3244098" TargetMode="External" /><Relationship Type="http://schemas.openxmlformats.org/officeDocument/2006/relationships/hyperlink" Id="rId95" Target="https://doi.org/10.1111/ecog.02881" TargetMode="External" /><Relationship Type="http://schemas.openxmlformats.org/officeDocument/2006/relationships/hyperlink" Id="rId131" Target="https://doi.org/10.1111/jfr3.12715" TargetMode="External" /><Relationship Type="http://schemas.openxmlformats.org/officeDocument/2006/relationships/hyperlink" Id="rId103" Target="https://doi.org/10.1111/jfr3.12770" TargetMode="External" /><Relationship Type="http://schemas.openxmlformats.org/officeDocument/2006/relationships/hyperlink" Id="rId99" Target="https://doi.org/10.1111/jfr3.12913" TargetMode="External" /><Relationship Type="http://schemas.openxmlformats.org/officeDocument/2006/relationships/hyperlink" Id="rId121" Target="https://doi.org/10.1111/jfr3.13047" TargetMode="External" /><Relationship Type="http://schemas.openxmlformats.org/officeDocument/2006/relationships/hyperlink" Id="rId127" Target="https://doi.org/10.1111/jfr3.70045" TargetMode="External" /><Relationship Type="http://schemas.openxmlformats.org/officeDocument/2006/relationships/hyperlink" Id="rId93" Target="https://doi.org/10.1111/jfr3.70089" TargetMode="External" /><Relationship Type="http://schemas.openxmlformats.org/officeDocument/2006/relationships/hyperlink" Id="rId55" Target="https://doi.org/10.1111/jfr3.70201" TargetMode="External" /><Relationship Type="http://schemas.openxmlformats.org/officeDocument/2006/relationships/hyperlink" Id="rId85" Target="https://doi.org/10.1145/1102351.1102430" TargetMode="External" /><Relationship Type="http://schemas.openxmlformats.org/officeDocument/2006/relationships/hyperlink" Id="rId129" Target="https://doi.org/10.1145/775047.775151" TargetMode="External" /><Relationship Type="http://schemas.openxmlformats.org/officeDocument/2006/relationships/hyperlink" Id="rId105" Target="https://doi.org/10.2166/wcc.2026.264" TargetMode="External" /><Relationship Type="http://schemas.openxmlformats.org/officeDocument/2006/relationships/hyperlink" Id="rId57" Target="https://doi.org/10.2760/094023" TargetMode="External" /><Relationship Type="http://schemas.openxmlformats.org/officeDocument/2006/relationships/hyperlink" Id="rId123" Target="https://doi.org/10.3389/feart.2023.1132722" TargetMode="External" /><Relationship Type="http://schemas.openxmlformats.org/officeDocument/2006/relationships/hyperlink" Id="rId115" Target="https://doi.org/10.3390/rs11131581" TargetMode="External" /><Relationship Type="http://schemas.openxmlformats.org/officeDocument/2006/relationships/hyperlink" Id="rId47" Target="https://doi.org/10.3390/rs16040656" TargetMode="External" /><Relationship Type="http://schemas.openxmlformats.org/officeDocument/2006/relationships/hyperlink" Id="rId101" Target="https://doi.org/10.48550/arXiv.2603.15681" TargetMode="External" /><Relationship Type="http://schemas.openxmlformats.org/officeDocument/2006/relationships/hyperlink" Id="rId49" Target="https://doi.org/10.5194/hess-26-4345-2022" TargetMode="External" /><Relationship Type="http://schemas.openxmlformats.org/officeDocument/2006/relationships/hyperlink" Id="rId63" Target="https://doi.org/10.5194/isprs-archives-XLIII-B3-2022-1097-2022" TargetMode="External" /><Relationship Type="http://schemas.openxmlformats.org/officeDocument/2006/relationships/hyperlink" Id="rId40" Target="https://doi.org/10.5281/zenodo.23130732" TargetMode="External" /><Relationship Type="http://schemas.openxmlformats.org/officeDocument/2006/relationships/hyperlink" Id="rId42" Target="https://fermium.systems/hazmapper" TargetMode="External" /><Relationship Type="http://schemas.openxmlformats.org/officeDocument/2006/relationships/hyperlink" Id="rId41" Target="https://github.com/rakibhhridoy/rimes-mapathon" TargetMode="External" /><Relationship Type="http://schemas.openxmlformats.org/officeDocument/2006/relationships/hyperlink" Id="rId117" Target="https://un-spider.org/advisory-support/recommended-practices/recommended-practice-google-earth-engine-flood-mapping"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1706.02216" TargetMode="External" /><Relationship Type="http://schemas.openxmlformats.org/officeDocument/2006/relationships/hyperlink" Id="rId107" Target="https://doi.org/10.1007/s00477-020-01862-5" TargetMode="External" /><Relationship Type="http://schemas.openxmlformats.org/officeDocument/2006/relationships/hyperlink" Id="rId81" Target="https://doi.org/10.1016/j.catena.2025.109029" TargetMode="External" /><Relationship Type="http://schemas.openxmlformats.org/officeDocument/2006/relationships/hyperlink" Id="rId119" Target="https://doi.org/10.1016/j.ecolmodel.2021.109692" TargetMode="External" /><Relationship Type="http://schemas.openxmlformats.org/officeDocument/2006/relationships/hyperlink" Id="rId75" Target="https://doi.org/10.1016/j.envc.2023.100833" TargetMode="External" /><Relationship Type="http://schemas.openxmlformats.org/officeDocument/2006/relationships/hyperlink" Id="rId61" Target="https://doi.org/10.1016/j.geomorph.2006.04.007" TargetMode="External" /><Relationship Type="http://schemas.openxmlformats.org/officeDocument/2006/relationships/hyperlink" Id="rId73" Target="https://doi.org/10.1016/j.gsf.2020.09.006" TargetMode="External" /><Relationship Type="http://schemas.openxmlformats.org/officeDocument/2006/relationships/hyperlink" Id="rId97" Target="https://doi.org/10.1016/j.heliyon.2023.e16459" TargetMode="External" /><Relationship Type="http://schemas.openxmlformats.org/officeDocument/2006/relationships/hyperlink" Id="rId45" Target="https://doi.org/10.1016/j.jenvman.2022.116813" TargetMode="External" /><Relationship Type="http://schemas.openxmlformats.org/officeDocument/2006/relationships/hyperlink" Id="rId87" Target="https://doi.org/10.1016/j.jhydrol.2011.03.051" TargetMode="External" /><Relationship Type="http://schemas.openxmlformats.org/officeDocument/2006/relationships/hyperlink" Id="rId83" Target="https://doi.org/10.1023/A:1024068626366" TargetMode="External" /><Relationship Type="http://schemas.openxmlformats.org/officeDocument/2006/relationships/hyperlink" Id="rId53" Target="https://doi.org/10.1023/B:NHAZ.0000007172.62651.2b" TargetMode="External" /><Relationship Type="http://schemas.openxmlformats.org/officeDocument/2006/relationships/hyperlink" Id="rId79" Target="https://doi.org/10.1029/2025WR041360" TargetMode="External" /><Relationship Type="http://schemas.openxmlformats.org/officeDocument/2006/relationships/hyperlink" Id="rId89" Target="https://doi.org/10.1038/nature20584" TargetMode="External" /><Relationship Type="http://schemas.openxmlformats.org/officeDocument/2006/relationships/hyperlink" Id="rId77" Target="https://doi.org/10.1038/s41467-019-10442-3" TargetMode="External" /><Relationship Type="http://schemas.openxmlformats.org/officeDocument/2006/relationships/hyperlink" Id="rId91" Target="https://doi.org/10.1038/s41467-020-18321-y" TargetMode="External" /><Relationship Type="http://schemas.openxmlformats.org/officeDocument/2006/relationships/hyperlink" Id="rId71" Target="https://doi.org/10.1038/s41467-023-39698-6" TargetMode="External" /><Relationship Type="http://schemas.openxmlformats.org/officeDocument/2006/relationships/hyperlink" Id="rId109" Target="https://doi.org/10.1038/s41586-021-03695-w" TargetMode="External" /><Relationship Type="http://schemas.openxmlformats.org/officeDocument/2006/relationships/hyperlink" Id="rId113" Target="https://doi.org/10.1080/01431161.2016.1192304" TargetMode="External" /><Relationship Type="http://schemas.openxmlformats.org/officeDocument/2006/relationships/hyperlink" Id="rId51" Target="https://doi.org/10.1080/02626667909491834" TargetMode="External" /><Relationship Type="http://schemas.openxmlformats.org/officeDocument/2006/relationships/hyperlink" Id="rId125" Target="https://doi.org/10.1080/10106049.2023.2275692" TargetMode="External" /><Relationship Type="http://schemas.openxmlformats.org/officeDocument/2006/relationships/hyperlink" Id="rId67" Target="https://doi.org/10.1088/1748-9326/abc216" TargetMode="External" /><Relationship Type="http://schemas.openxmlformats.org/officeDocument/2006/relationships/hyperlink" Id="rId69" Target="https://doi.org/10.1088/1748-9326/ac4d4f" TargetMode="External" /><Relationship Type="http://schemas.openxmlformats.org/officeDocument/2006/relationships/hyperlink" Id="rId59" Target="https://doi.org/10.1109/CVPRW59228.2023.00209" TargetMode="External" /><Relationship Type="http://schemas.openxmlformats.org/officeDocument/2006/relationships/hyperlink" Id="rId111" Target="https://doi.org/10.1109/JSTARS.2023.3244098" TargetMode="External" /><Relationship Type="http://schemas.openxmlformats.org/officeDocument/2006/relationships/hyperlink" Id="rId95" Target="https://doi.org/10.1111/ecog.02881" TargetMode="External" /><Relationship Type="http://schemas.openxmlformats.org/officeDocument/2006/relationships/hyperlink" Id="rId131" Target="https://doi.org/10.1111/jfr3.12715" TargetMode="External" /><Relationship Type="http://schemas.openxmlformats.org/officeDocument/2006/relationships/hyperlink" Id="rId103" Target="https://doi.org/10.1111/jfr3.12770" TargetMode="External" /><Relationship Type="http://schemas.openxmlformats.org/officeDocument/2006/relationships/hyperlink" Id="rId99" Target="https://doi.org/10.1111/jfr3.12913" TargetMode="External" /><Relationship Type="http://schemas.openxmlformats.org/officeDocument/2006/relationships/hyperlink" Id="rId121" Target="https://doi.org/10.1111/jfr3.13047" TargetMode="External" /><Relationship Type="http://schemas.openxmlformats.org/officeDocument/2006/relationships/hyperlink" Id="rId127" Target="https://doi.org/10.1111/jfr3.70045" TargetMode="External" /><Relationship Type="http://schemas.openxmlformats.org/officeDocument/2006/relationships/hyperlink" Id="rId93" Target="https://doi.org/10.1111/jfr3.70089" TargetMode="External" /><Relationship Type="http://schemas.openxmlformats.org/officeDocument/2006/relationships/hyperlink" Id="rId55" Target="https://doi.org/10.1111/jfr3.70201" TargetMode="External" /><Relationship Type="http://schemas.openxmlformats.org/officeDocument/2006/relationships/hyperlink" Id="rId85" Target="https://doi.org/10.1145/1102351.1102430" TargetMode="External" /><Relationship Type="http://schemas.openxmlformats.org/officeDocument/2006/relationships/hyperlink" Id="rId129" Target="https://doi.org/10.1145/775047.775151" TargetMode="External" /><Relationship Type="http://schemas.openxmlformats.org/officeDocument/2006/relationships/hyperlink" Id="rId105" Target="https://doi.org/10.2166/wcc.2026.264" TargetMode="External" /><Relationship Type="http://schemas.openxmlformats.org/officeDocument/2006/relationships/hyperlink" Id="rId57" Target="https://doi.org/10.2760/094023" TargetMode="External" /><Relationship Type="http://schemas.openxmlformats.org/officeDocument/2006/relationships/hyperlink" Id="rId123" Target="https://doi.org/10.3389/feart.2023.1132722" TargetMode="External" /><Relationship Type="http://schemas.openxmlformats.org/officeDocument/2006/relationships/hyperlink" Id="rId115" Target="https://doi.org/10.3390/rs11131581" TargetMode="External" /><Relationship Type="http://schemas.openxmlformats.org/officeDocument/2006/relationships/hyperlink" Id="rId47" Target="https://doi.org/10.3390/rs16040656" TargetMode="External" /><Relationship Type="http://schemas.openxmlformats.org/officeDocument/2006/relationships/hyperlink" Id="rId101" Target="https://doi.org/10.48550/arXiv.2603.15681" TargetMode="External" /><Relationship Type="http://schemas.openxmlformats.org/officeDocument/2006/relationships/hyperlink" Id="rId49" Target="https://doi.org/10.5194/hess-26-4345-2022" TargetMode="External" /><Relationship Type="http://schemas.openxmlformats.org/officeDocument/2006/relationships/hyperlink" Id="rId63" Target="https://doi.org/10.5194/isprs-archives-XLIII-B3-2022-1097-2022" TargetMode="External" /><Relationship Type="http://schemas.openxmlformats.org/officeDocument/2006/relationships/hyperlink" Id="rId40" Target="https://doi.org/10.5281/zenodo.23130732" TargetMode="External" /><Relationship Type="http://schemas.openxmlformats.org/officeDocument/2006/relationships/hyperlink" Id="rId42" Target="https://fermium.systems/hazmapper" TargetMode="External" /><Relationship Type="http://schemas.openxmlformats.org/officeDocument/2006/relationships/hyperlink" Id="rId41" Target="https://github.com/rakibhhridoy/rimes-mapathon" TargetMode="External" /><Relationship Type="http://schemas.openxmlformats.org/officeDocument/2006/relationships/hyperlink" Id="rId117" Target="https://un-spider.org/advisory-support/recommended-practices/recommended-practice-google-earth-engine-flood-mapp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2026-10-06T07:43:54Z</dcterms:created>
  <dcterms:modified xsi:type="dcterms:W3CDTF">2026-10-06T07:43:54Z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