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with flood extents mapped from Sentinel-1 radar for thirteen events as labels and reference and every model scored on 10 km blocks held out from training. Trained on floods up to 2022, a gradient-boosted model ranked the ground the 2024 river floods reached in Rangpur and Rajshahi at an AUC of 0.801, below the record of earlier flooding at 0.896, and the record kept its lead with masks re-mapped from a single satellite, with two other training targets and with 40 km blocks. Given the record as a feature, the model beat both, at 0.924, by ranking the ground no earlier flood had reached. In the Sylhet haor the record’s lead, 0.851 against 0.797, closed when the model learned the same target as the test, and on the cyclone-struck coast, where most flooded assets stood on ground no earlier cyclone had reached, the model’s lead did not survive wider blocks. The record was therefore the stronger guide where floods returned to the same ground. Radar-observed extents also made better training labels than terrain thresholds, by 0.101, 0.087 and 0.080 in AUC on held-out areas, a graph neural network added nothing over tabular models, and elevation carried almost all of the terrain signal. The radar masks agreed only moderately with an independent MODIS map, so every score measures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X.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The second is whether radar-observed flood extents make better training labels than terrain thresholds for ground a model has not seen, and the third, more briefly,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appeared first for landslides</w:t>
      </w:r>
      <w:r>
        <w:t xml:space="preserve"> </w:t>
      </w:r>
      <w:r>
        <w:t xml:space="preserve">(Ma et al., 2025; X. Wang et al., 2023)</w:t>
      </w:r>
      <w:r>
        <w:t xml:space="preserve"> </w:t>
      </w:r>
      <w:r>
        <w:t xml:space="preserve">and have since been applied to flood susceptibility on graphs of urban cells</w:t>
      </w:r>
      <w:r>
        <w:t xml:space="preserve"> </w:t>
      </w:r>
      <w:r>
        <w:t xml:space="preserve">(Z. Wang et al., 2023)</w:t>
      </w:r>
      <w:r>
        <w:t xml:space="preserve"> </w:t>
      </w:r>
      <w:r>
        <w:t xml:space="preserve">and of catchments linked by their topology</w:t>
      </w:r>
      <w:r>
        <w:t xml:space="preserve"> </w:t>
      </w:r>
      <w:r>
        <w:t xml:space="preserve">(Liu et al., 2026)</w:t>
      </w:r>
      <w:r>
        <w:t xml:space="preserve">, and a preprint reported a gain of 0.097 in AUC over the best tabular model on sub-watersheds linked by river connectivity</w:t>
      </w:r>
      <w:r>
        <w:t xml:space="preserve"> </w:t>
      </w:r>
      <w:r>
        <w:t xml:space="preserve">(Sharma &amp; Sharma, 2026)</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nor one that links assets by proximity rather than by the flow of water.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 from a 30 m elevation model</w:t>
      </w:r>
      <w:r>
        <w:t xml:space="preserve"> </w:t>
      </w:r>
      <w:r>
        <w:t xml:space="preserve">(Hawker et al., 2022)</w:t>
      </w:r>
      <w:r>
        <w:t xml:space="preserve">, would suit a flat delta better, but its licence forbids commercial use and requires derived data to carry the same terms, which the CC BY 4.0 data archive of this study could not. The vertical error of SRTM on flat floodplains is therefore one possible reason why TWI and HAND add little once elevation is known (Section 5.7), a reading that was not tested.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5.6,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Of the two hazard surfaces that cover the grid, the first interpolates the asset scores by ordinary Kriging, which can add little between assets where the scores lack spatial structure. Its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on a grid of about 500 m cells, both over the whole grid and, refitted for each assignment, over the cells of its test blocks. Every comparison between models or label sources is repeated over 20 block assignments drawn with different seeds, because one assignment gives a single number with no sense of its spread.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A temporal test trains on the floods up to 2022 and scores against those of 2024 (Section 5.4).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3"/>
    <w:bookmarkEnd w:id="24"/>
    <w:bookmarkStart w:id="32"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both hazard surfaces are weak. Over the whole grid, training ground included, the terrain surface reaches 0.542 and the Kriged one 0.538, against 0.657 and 0.666 in Rangpur and Rajshahi and 0.822 and 0.544 in Sylhet. Refitted for each assignment and scored only on the cells of its test blocks, which hold only ground near mapped assets, the terrain surface reaches 0.656, 0.763 and 0.610, so the whole-grid figure overstated it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Sentinel-1B failed in December 2021, so the earlier events were seen by two satellites and the 2024 ones by one, and since each mask takes the lowest backscatter in its window, more scenes can map more flooding. Re-mapped from Sentinel-1A alone, the earlier events shrank by up to 15.7 % and the record still led by 0.097. The published model learns a yes-or-no label from the earlier events while the record keeps their fraction, and retrained on flooding in any earlier event, which is how the 2024 floods are counted, or on the fraction itself, the model fell further behind, by 0.133 and 0.131. With 40 km blocks the lead grew to 0.126, and setting aside the ground that radar could mistake for water every monsoon, such as wet paddy, narrowed it to within noise without reversing it. In Sylhet the record’s lead closed, to 0.017 and 0.016, when the model learned the same target as the test, and outside the haor’s seasonal water the two were level, so the Sylhet result rests on the choice of target. On the coast the model’s lead fell within noise with 20 and 40 km blocks.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either the model without the feature at 0.837 (</w:t>
      </w:r>
      <m:oMath>
        <m:r>
          <m:t>p</m:t>
        </m:r>
        <m:r>
          <m:rPr>
            <m:sty m:val="p"/>
          </m:rPr>
          <m:t>=</m:t>
        </m:r>
        <m:r>
          <m:t>0.196</m:t>
        </m:r>
      </m:oMath>
      <w:r>
        <w:t xml:space="preserve">) or the record alone at 0.851 (</w:t>
      </w:r>
      <m:oMath>
        <m:r>
          <m:t>p</m:t>
        </m:r>
        <m:r>
          <m:rPr>
            <m:sty m:val="p"/>
          </m:rPr>
          <m:t>=</m:t>
        </m:r>
        <m:r>
          <m:t>0.881</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 The comparison with the flood record under wider blocks is reported in Section 5.4.</w:t>
      </w:r>
    </w:p>
    <w:bookmarkEnd w:id="29"/>
    <w:bookmarkStart w:id="30" w:name="sec:benchmark"/>
    <w:p>
      <w:pPr>
        <w:pStyle w:val="Heading2"/>
      </w:pPr>
      <w:r>
        <w:rPr>
          <w:rStyle w:val="SectionNumber"/>
        </w:rPr>
        <w:t xml:space="preserve">5.6</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Gradient boosting scores best in every region, and the graph network trails it measurably only in Rangpur and Rajshahi, by 0.028 in AUC (</w:t>
      </w:r>
      <m:oMath>
        <m:r>
          <m:t>p</m:t>
        </m:r>
        <m:r>
          <m:rPr>
            <m:sty m:val="p"/>
          </m:rPr>
          <m:t>=</m:t>
        </m:r>
        <m:r>
          <m:t>0.003</m:t>
        </m:r>
      </m:oMath>
      <w:r>
        <w:t xml:space="preserve">), while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30"/>
    <w:bookmarkStart w:id="31" w:name="sec:importance"/>
    <w:p>
      <w:pPr>
        <w:pStyle w:val="Heading2"/>
      </w:pPr>
      <w:r>
        <w:rPr>
          <w:rStyle w:val="SectionNumber"/>
        </w:rPr>
        <w:t xml:space="preserve">5.7</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1"/>
    <w:bookmarkEnd w:id="32"/>
    <w:bookmarkStart w:id="38" w:name="sec:discussion"/>
    <w:p>
      <w:pPr>
        <w:pStyle w:val="Heading1"/>
      </w:pPr>
      <w:r>
        <w:rPr>
          <w:rStyle w:val="SectionNumber"/>
        </w:rPr>
        <w:t xml:space="preserve">6</w:t>
      </w:r>
      <w:r>
        <w:tab/>
      </w:r>
      <w:r>
        <w:t xml:space="preserve">Discussion</w:t>
      </w:r>
    </w:p>
    <w:bookmarkStart w:id="33" w:name="what-the-flood-record-already-knows"/>
    <w:p>
      <w:pPr>
        <w:pStyle w:val="Heading2"/>
      </w:pPr>
      <w:r>
        <w:rPr>
          <w:rStyle w:val="SectionNumber"/>
        </w:rPr>
        <w:t xml:space="preserve">6.1</w:t>
      </w:r>
      <w:r>
        <w:tab/>
      </w:r>
      <w:r>
        <w:t xml:space="preserve">What the flood record already knows</w:t>
      </w:r>
    </w:p>
    <w:p>
      <w:pPr>
        <w:pStyle w:val="FirstParagraph"/>
      </w:pPr>
      <w:r>
        <w:t xml:space="preserve">Susceptibility studies rarely ask whether a model anticipates a later flood better than the record of earlier ones, and here the answer followed how often floods returned to the same ground. In Rangpur and Rajshahi, where most of the ground the 2024 floods reached had flooded before, the record led under every check applied. The model added to it only when given the record as a feature, gaining on ground no earlier flood had reached, where the record cannot rank at all. In the Sylhet haor the record’s lead depended on what the model was trained to predict and lay on the margins of the seasonal water. A published multi-criteria map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 rather than assets. On the coast, where most of the ground Cyclone Remal flooded had not flooded in the earlier cyclones, the model’s lead did not survive wider blocks. Three regions cannot establish that pattern, but they show that the comparison has to be made region by region rather than assumed. The record marks where water returns and the terrain ranks where it has not yet been seen, so a susceptibility map for a river basin with a radar flood history should at least report the record beside it, and where the record is informative the two can be combined. A study that reports accuracy without that reference cannot show that its model knows more than the flood record already does, and the comparison is simple to make wherever Sentinel-1 has observed earlier floods.</w:t>
      </w:r>
    </w:p>
    <w:bookmarkEnd w:id="33"/>
    <w:bookmarkStart w:id="34"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and wider blocks lower these figures a little further (Section 5.5).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4"/>
    <w:bookmarkStart w:id="35" w:name="Xa0a4390a637e12f1989c7cc4b426b20e3374b13"/>
    <w:p>
      <w:pPr>
        <w:pStyle w:val="Heading2"/>
      </w:pPr>
      <w:r>
        <w:rPr>
          <w:rStyle w:val="SectionNumber"/>
        </w:rPr>
        <w:t xml:space="preserve">6.3</w:t>
      </w:r>
      <w:r>
        <w:tab/>
      </w:r>
      <w:r>
        <w:t xml:space="preserve">What the graph and interpolation did not add</w:t>
      </w:r>
    </w:p>
    <w:p>
      <w:pPr>
        <w:pStyle w:val="FirstParagraph"/>
      </w:pPr>
      <w:r>
        <w:t xml:space="preserve">On identical features and blocks the graph network trailed the best tabular model in every region, measurably only in Rangpur and Rajshahi, probably because the features already carry the neighbourhood, since nearby assets share elevation and distances to the same services, although this was not tested. The graphs that reported gains elsewhere linked catchments or sub-watersheds along the flow of water</w:t>
      </w:r>
      <w:r>
        <w:t xml:space="preserve"> </w:t>
      </w:r>
      <w:r>
        <w:t xml:space="preserve">(Liu et al., 2026; Sharma &amp; Sharma, 2026)</w:t>
      </w:r>
      <w:r>
        <w:t xml:space="preserve">, whereas this one linked each asset to its nearest neighbours, so the result bears on proximity graphs of assets, and whether a river-connected graph would help remains untested. Kriging fared no better, and over the whole grid in Sylhet it ranked observed flooding at 0.544 against 0.822 for the terrain surface. Studies proposing either should report the tabular baseline on the same blocks.</w:t>
      </w:r>
    </w:p>
    <w:bookmarkEnd w:id="35"/>
    <w:bookmarkStart w:id="36" w:name="sec:implications"/>
    <w:p>
      <w:pPr>
        <w:pStyle w:val="Heading2"/>
      </w:pPr>
      <w:r>
        <w:rPr>
          <w:rStyle w:val="SectionNumber"/>
        </w:rPr>
        <w:t xml:space="preserve">6.4</w:t>
      </w:r>
      <w:r>
        <w:tab/>
      </w:r>
      <w:r>
        <w:t xml:space="preserve">Implications for flood risk management</w:t>
      </w:r>
    </w:p>
    <w:p>
      <w:pPr>
        <w:pStyle w:val="FirstParagraph"/>
      </w:pPr>
      <w:r>
        <w:t xml:space="preserve">First, where Sentinel-1 has observed several floods, the record of where water has already stood was at least as good a guide to the next riverine flood as a terrain model alone, and in Rangpur and Rajshahi a better one.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possibly on a coast where each surge strikes new ground, although the coastal lead did not survive wider blocks.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were almost indistinguishable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6"/>
    <w:bookmarkStart w:id="37" w:name="limits-of-the-maps"/>
    <w:p>
      <w:pPr>
        <w:pStyle w:val="Heading2"/>
      </w:pPr>
      <w:r>
        <w:rPr>
          <w:rStyle w:val="SectionNumber"/>
        </w:rPr>
        <w:t xml:space="preserve">6.5</w:t>
      </w:r>
      <w:r>
        <w:tab/>
      </w:r>
      <w:r>
        <w:t xml:space="preserve">Limits of the maps</w:t>
      </w:r>
    </w:p>
    <w:p>
      <w:pPr>
        <w:pStyle w:val="FirstParagraph"/>
      </w:pPr>
      <w:r>
        <w:t xml:space="preserve">The coast is the clearest limit, since both hazard surfaces are weak there, the terrain surface reaching 0.610 on held-out ground, because surge flooding follows embankments, tidal channels and landfall position, which the pipeline does not yet ingest. The coastal composite is therefore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The temporal test rests on a single flood year, and in Rangpur and Rajshahi on small floods that stayed largely within earlier extents, so a larger flood reaching new ground might favour the model, as on the coast.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7"/>
    <w:bookmarkEnd w:id="38"/>
    <w:bookmarkStart w:id="39" w:name="sec:conclusions"/>
    <w:p>
      <w:pPr>
        <w:pStyle w:val="Heading1"/>
      </w:pPr>
      <w:r>
        <w:rPr>
          <w:rStyle w:val="SectionNumber"/>
        </w:rPr>
        <w:t xml:space="preserve">7</w:t>
      </w:r>
      <w:r>
        <w:tab/>
      </w:r>
      <w:r>
        <w:t xml:space="preserve">Conclusions</w:t>
      </w:r>
    </w:p>
    <w:p>
      <w:pPr>
        <w:pStyle w:val="FirstParagraph"/>
      </w:pPr>
      <w:r>
        <w:t xml:space="preserve">In the riverine region where floods returned to the same ground, a terrain-based flood susceptibility model did not know more than the flood record. In Rangpur and Rajshahi the record of earlier floods predicted the 2024 flooding better than the model under every check applied, and a model given that record as a feature beat both, reaching 0.924, by ranking the ground no earlier flood had reached. In the Sylhet haor the comparison turned on the model’s training target, and on the cyclone-struck coast it remains open. Radar-observed flood extents made better training labels than terrain thresholds, by 0.101, 0.087 and 0.080 in AUC on held-out ground and by 0.069, 0.024 and 0.071 against later floods. Ordinary tabular models matched or beat a graph neural network, and the terrain hazard surface ranked observed flooding on held-out ground at 0.656 and 0.763 in the riverine regions and only 0.610 on the coast. Every number in this paper is generated from the released pipeline outputs, so each can be checked and rebuilt.</w:t>
      </w:r>
    </w:p>
    <w:bookmarkEnd w:id="39"/>
    <w:bookmarkStart w:id="43"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40">
        <w:r>
          <w:rPr>
            <w:rStyle w:val="Hyperlink"/>
          </w:rPr>
          <w:t xml:space="preserve">https://doi.org/10.5281/zenodo.23130732</w:t>
        </w:r>
      </w:hyperlink>
      <w:r>
        <w:t xml:space="preserve">. The code that produced them is openly available at</w:t>
      </w:r>
      <w:r>
        <w:t xml:space="preserve"> </w:t>
      </w:r>
      <w:hyperlink r:id="rId41">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2">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3"/>
    <w:bookmarkStart w:id="44"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4"/>
    <w:bookmarkStart w:id="136" w:name="references"/>
    <w:p>
      <w:pPr>
        <w:pStyle w:val="Heading1"/>
      </w:pPr>
      <w:r>
        <w:t xml:space="preserve">References</w:t>
      </w:r>
    </w:p>
    <w:bookmarkStart w:id="135" w:name="refs"/>
    <w:bookmarkStart w:id="46"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5">
        <w:r>
          <w:rPr>
            <w:rStyle w:val="Hyperlink"/>
          </w:rPr>
          <w:t xml:space="preserve">https://doi.org/10.1016/j.jenvman.2022.116813</w:t>
        </w:r>
      </w:hyperlink>
    </w:p>
    <w:bookmarkEnd w:id="46"/>
    <w:bookmarkStart w:id="48"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7">
        <w:r>
          <w:rPr>
            <w:rStyle w:val="Hyperlink"/>
          </w:rPr>
          <w:t xml:space="preserve">https://doi.org/10.3390/rs16040656</w:t>
        </w:r>
      </w:hyperlink>
    </w:p>
    <w:bookmarkEnd w:id="48"/>
    <w:bookmarkStart w:id="50"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9">
        <w:r>
          <w:rPr>
            <w:rStyle w:val="Hyperlink"/>
          </w:rPr>
          <w:t xml:space="preserve">https://doi.org/10.5194/hess-26-4345-2022</w:t>
        </w:r>
      </w:hyperlink>
    </w:p>
    <w:bookmarkEnd w:id="50"/>
    <w:bookmarkStart w:id="52"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1">
        <w:r>
          <w:rPr>
            <w:rStyle w:val="Hyperlink"/>
          </w:rPr>
          <w:t xml:space="preserve">https://doi.org/10.1080/02626667909491834</w:t>
        </w:r>
      </w:hyperlink>
    </w:p>
    <w:bookmarkEnd w:id="52"/>
    <w:bookmarkStart w:id="54"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3">
        <w:r>
          <w:rPr>
            <w:rStyle w:val="Hyperlink"/>
          </w:rPr>
          <w:t xml:space="preserve">https://doi.org/10.1023/B:NHAZ.0000007172.62651.2b</w:t>
        </w:r>
      </w:hyperlink>
    </w:p>
    <w:bookmarkEnd w:id="54"/>
    <w:bookmarkStart w:id="56"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5">
        <w:r>
          <w:rPr>
            <w:rStyle w:val="Hyperlink"/>
          </w:rPr>
          <w:t xml:space="preserve">https://doi.org/10.1111/jfr3.70201</w:t>
        </w:r>
      </w:hyperlink>
    </w:p>
    <w:bookmarkEnd w:id="56"/>
    <w:bookmarkStart w:id="58"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7">
        <w:r>
          <w:rPr>
            <w:rStyle w:val="Hyperlink"/>
          </w:rPr>
          <w:t xml:space="preserve">https://doi.org/10.1007/s44288-026-00759-0</w:t>
        </w:r>
      </w:hyperlink>
    </w:p>
    <w:bookmarkEnd w:id="58"/>
    <w:bookmarkStart w:id="60"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9">
        <w:r>
          <w:rPr>
            <w:rStyle w:val="Hyperlink"/>
          </w:rPr>
          <w:t xml:space="preserve">https://doi.org/10.2760/094023</w:t>
        </w:r>
      </w:hyperlink>
    </w:p>
    <w:bookmarkEnd w:id="60"/>
    <w:bookmarkStart w:id="62"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61">
        <w:r>
          <w:rPr>
            <w:rStyle w:val="Hyperlink"/>
          </w:rPr>
          <w:t xml:space="preserve">https://doi.org/10.1109/CVPRW59228.2023.00209</w:t>
        </w:r>
      </w:hyperlink>
    </w:p>
    <w:bookmarkEnd w:id="62"/>
    <w:bookmarkStart w:id="64"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3">
        <w:r>
          <w:rPr>
            <w:rStyle w:val="Hyperlink"/>
          </w:rPr>
          <w:t xml:space="preserve">https://doi.org/10.1016/j.geomorph.2006.04.007</w:t>
        </w:r>
      </w:hyperlink>
    </w:p>
    <w:bookmarkEnd w:id="64"/>
    <w:bookmarkStart w:id="66"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5">
        <w:r>
          <w:rPr>
            <w:rStyle w:val="Hyperlink"/>
          </w:rPr>
          <w:t xml:space="preserve">https://doi.org/10.5194/isprs-archives-XLIII-B3-2022-1097-2022</w:t>
        </w:r>
      </w:hyperlink>
    </w:p>
    <w:bookmarkEnd w:id="66"/>
    <w:bookmarkStart w:id="68"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7">
        <w:r>
          <w:rPr>
            <w:rStyle w:val="Hyperlink"/>
          </w:rPr>
          <w:t xml:space="preserve">https://arxiv.org/abs/1706.02216</w:t>
        </w:r>
      </w:hyperlink>
    </w:p>
    <w:bookmarkEnd w:id="68"/>
    <w:bookmarkStart w:id="70"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9">
        <w:r>
          <w:rPr>
            <w:rStyle w:val="Hyperlink"/>
          </w:rPr>
          <w:t xml:space="preserve">https://doi.org/10.1088/1748-9326/abc216</w:t>
        </w:r>
      </w:hyperlink>
    </w:p>
    <w:bookmarkEnd w:id="70"/>
    <w:bookmarkStart w:id="72"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71">
        <w:r>
          <w:rPr>
            <w:rStyle w:val="Hyperlink"/>
          </w:rPr>
          <w:t xml:space="preserve">https://doi.org/10.1088/1748-9326/ac4d4f</w:t>
        </w:r>
      </w:hyperlink>
    </w:p>
    <w:bookmarkEnd w:id="72"/>
    <w:bookmarkStart w:id="74"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73">
        <w:r>
          <w:rPr>
            <w:rStyle w:val="Hyperlink"/>
          </w:rPr>
          <w:t xml:space="preserve">https://doi.org/10.1038/s41467-023-39698-6</w:t>
        </w:r>
      </w:hyperlink>
    </w:p>
    <w:bookmarkEnd w:id="74"/>
    <w:bookmarkStart w:id="76"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5">
        <w:r>
          <w:rPr>
            <w:rStyle w:val="Hyperlink"/>
          </w:rPr>
          <w:t xml:space="preserve">https://doi.org/10.1016/j.gsf.2020.09.006</w:t>
        </w:r>
      </w:hyperlink>
    </w:p>
    <w:bookmarkEnd w:id="76"/>
    <w:bookmarkStart w:id="78"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7">
        <w:r>
          <w:rPr>
            <w:rStyle w:val="Hyperlink"/>
          </w:rPr>
          <w:t xml:space="preserve">https://doi.org/10.1016/j.envc.2023.100833</w:t>
        </w:r>
      </w:hyperlink>
    </w:p>
    <w:bookmarkEnd w:id="78"/>
    <w:bookmarkStart w:id="80"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79">
        <w:r>
          <w:rPr>
            <w:rStyle w:val="Hyperlink"/>
          </w:rPr>
          <w:t xml:space="preserve">https://doi.org/10.1038/s41467-019-10442-3</w:t>
        </w:r>
      </w:hyperlink>
    </w:p>
    <w:bookmarkEnd w:id="80"/>
    <w:bookmarkStart w:id="82" w:name="ref-liu2026"/>
    <w:p>
      <w:pPr>
        <w:pStyle w:val="Bibliography"/>
      </w:pPr>
      <w:r>
        <w:t xml:space="preserve">Liu, J., Zhao, G., Xiong, J., &amp; Kinouchi, T. (2026). A graph-based deep learning approach for daily flash flood susceptibility modeling in</w:t>
      </w:r>
      <w:r>
        <w:t xml:space="preserve"> </w:t>
      </w:r>
      <w:r>
        <w:t xml:space="preserve">China</w:t>
      </w:r>
      <w:r>
        <w:t xml:space="preserve">.</w:t>
      </w:r>
      <w:r>
        <w:t xml:space="preserve"> </w:t>
      </w:r>
      <w:r>
        <w:rPr>
          <w:i/>
          <w:iCs/>
        </w:rPr>
        <w:t xml:space="preserve">Water Resources Research</w:t>
      </w:r>
      <w:r>
        <w:t xml:space="preserve">,</w:t>
      </w:r>
      <w:r>
        <w:t xml:space="preserve"> </w:t>
      </w:r>
      <w:r>
        <w:rPr>
          <w:i/>
          <w:iCs/>
        </w:rPr>
        <w:t xml:space="preserve">62</w:t>
      </w:r>
      <w:r>
        <w:t xml:space="preserve">, e2025WR041360.</w:t>
      </w:r>
      <w:r>
        <w:t xml:space="preserve"> </w:t>
      </w:r>
      <w:hyperlink r:id="rId81">
        <w:r>
          <w:rPr>
            <w:rStyle w:val="Hyperlink"/>
          </w:rPr>
          <w:t xml:space="preserve">https://doi.org/10.1029/2025WR041360</w:t>
        </w:r>
      </w:hyperlink>
    </w:p>
    <w:bookmarkEnd w:id="82"/>
    <w:bookmarkStart w:id="84"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83">
        <w:r>
          <w:rPr>
            <w:rStyle w:val="Hyperlink"/>
          </w:rPr>
          <w:t xml:space="preserve">https://doi.org/10.1016/j.catena.2025.109029</w:t>
        </w:r>
      </w:hyperlink>
    </w:p>
    <w:bookmarkEnd w:id="84"/>
    <w:bookmarkStart w:id="86"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85">
        <w:r>
          <w:rPr>
            <w:rStyle w:val="Hyperlink"/>
          </w:rPr>
          <w:t xml:space="preserve">https://doi.org/10.1023/A:1024068626366</w:t>
        </w:r>
      </w:hyperlink>
    </w:p>
    <w:bookmarkEnd w:id="86"/>
    <w:bookmarkStart w:id="88"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7">
        <w:r>
          <w:rPr>
            <w:rStyle w:val="Hyperlink"/>
          </w:rPr>
          <w:t xml:space="preserve">https://doi.org/10.1145/1102351.1102430</w:t>
        </w:r>
      </w:hyperlink>
    </w:p>
    <w:bookmarkEnd w:id="88"/>
    <w:bookmarkStart w:id="90"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9">
        <w:r>
          <w:rPr>
            <w:rStyle w:val="Hyperlink"/>
          </w:rPr>
          <w:t xml:space="preserve">https://doi.org/10.1016/j.jhydrol.2011.03.051</w:t>
        </w:r>
      </w:hyperlink>
    </w:p>
    <w:bookmarkEnd w:id="90"/>
    <w:bookmarkStart w:id="92"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91">
        <w:r>
          <w:rPr>
            <w:rStyle w:val="Hyperlink"/>
          </w:rPr>
          <w:t xml:space="preserve">https://doi.org/10.1038/nature20584</w:t>
        </w:r>
      </w:hyperlink>
    </w:p>
    <w:bookmarkEnd w:id="92"/>
    <w:bookmarkStart w:id="94"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93">
        <w:r>
          <w:rPr>
            <w:rStyle w:val="Hyperlink"/>
          </w:rPr>
          <w:t xml:space="preserve">https://doi.org/10.1038/s41467-020-18321-y</w:t>
        </w:r>
      </w:hyperlink>
    </w:p>
    <w:bookmarkEnd w:id="94"/>
    <w:bookmarkStart w:id="96"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95">
        <w:r>
          <w:rPr>
            <w:rStyle w:val="Hyperlink"/>
          </w:rPr>
          <w:t xml:space="preserve">https://doi.org/10.1111/jfr3.70089</w:t>
        </w:r>
      </w:hyperlink>
    </w:p>
    <w:bookmarkEnd w:id="96"/>
    <w:bookmarkStart w:id="98"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7">
        <w:r>
          <w:rPr>
            <w:rStyle w:val="Hyperlink"/>
          </w:rPr>
          <w:t xml:space="preserve">https://doi.org/10.1111/ecog.02881</w:t>
        </w:r>
      </w:hyperlink>
    </w:p>
    <w:bookmarkEnd w:id="98"/>
    <w:bookmarkStart w:id="100"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9">
        <w:r>
          <w:rPr>
            <w:rStyle w:val="Hyperlink"/>
          </w:rPr>
          <w:t xml:space="preserve">https://doi.org/10.1016/j.heliyon.2023.e16459</w:t>
        </w:r>
      </w:hyperlink>
    </w:p>
    <w:bookmarkEnd w:id="100"/>
    <w:bookmarkStart w:id="102"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101">
        <w:r>
          <w:rPr>
            <w:rStyle w:val="Hyperlink"/>
          </w:rPr>
          <w:t xml:space="preserve">https://doi.org/10.1111/jfr3.12913</w:t>
        </w:r>
      </w:hyperlink>
    </w:p>
    <w:bookmarkEnd w:id="102"/>
    <w:bookmarkStart w:id="104" w:name="ref-sharma2026"/>
    <w:p>
      <w:pPr>
        <w:pStyle w:val="Bibliography"/>
      </w:pPr>
      <w:r>
        <w:t xml:space="preserve">Sharma, P., &amp; Sharma, S. (2026).</w:t>
      </w:r>
      <w:r>
        <w:t xml:space="preserve"> </w:t>
      </w:r>
      <w:r>
        <w:rPr>
          <w:i/>
          <w:iCs/>
        </w:rPr>
        <w:t xml:space="preserve">Flood risk follows valleys, not grids: Graph neural networks for flash flood susceptibility mapping in</w:t>
      </w:r>
      <w:r>
        <w:rPr>
          <w:i/>
          <w:iCs/>
        </w:rPr>
        <w:t xml:space="preserve"> </w:t>
      </w:r>
      <w:r>
        <w:rPr>
          <w:i/>
          <w:iCs/>
        </w:rPr>
        <w:t xml:space="preserve">Himachal Pradesh</w:t>
      </w:r>
      <w:r>
        <w:rPr>
          <w:i/>
          <w:iCs/>
        </w:rPr>
        <w:t xml:space="preserve"> </w:t>
      </w:r>
      <w:r>
        <w:rPr>
          <w:i/>
          <w:iCs/>
        </w:rPr>
        <w:t xml:space="preserve">with conformal uncertainty quantification</w:t>
      </w:r>
      <w:r>
        <w:t xml:space="preserve">. arXiv preprint 2603.15681, not peer reviewed.</w:t>
      </w:r>
      <w:r>
        <w:t xml:space="preserve"> </w:t>
      </w:r>
      <w:hyperlink r:id="rId103">
        <w:r>
          <w:rPr>
            <w:rStyle w:val="Hyperlink"/>
          </w:rPr>
          <w:t xml:space="preserve">https://doi.org/10.48550/arXiv.2603.15681</w:t>
        </w:r>
      </w:hyperlink>
    </w:p>
    <w:bookmarkEnd w:id="104"/>
    <w:bookmarkStart w:id="106"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105">
        <w:r>
          <w:rPr>
            <w:rStyle w:val="Hyperlink"/>
          </w:rPr>
          <w:t xml:space="preserve">https://doi.org/10.1111/jfr3.12770</w:t>
        </w:r>
      </w:hyperlink>
    </w:p>
    <w:bookmarkEnd w:id="106"/>
    <w:bookmarkStart w:id="108"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107">
        <w:r>
          <w:rPr>
            <w:rStyle w:val="Hyperlink"/>
          </w:rPr>
          <w:t xml:space="preserve">https://doi.org/10.2166/wcc.2026.264</w:t>
        </w:r>
      </w:hyperlink>
    </w:p>
    <w:bookmarkEnd w:id="108"/>
    <w:bookmarkStart w:id="110"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109">
        <w:r>
          <w:rPr>
            <w:rStyle w:val="Hyperlink"/>
          </w:rPr>
          <w:t xml:space="preserve">https://doi.org/10.1007/s00477-020-01862-5</w:t>
        </w:r>
      </w:hyperlink>
    </w:p>
    <w:bookmarkEnd w:id="110"/>
    <w:bookmarkStart w:id="112"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11">
        <w:r>
          <w:rPr>
            <w:rStyle w:val="Hyperlink"/>
          </w:rPr>
          <w:t xml:space="preserve">https://doi.org/10.1038/s41586-021-03695-w</w:t>
        </w:r>
      </w:hyperlink>
    </w:p>
    <w:bookmarkEnd w:id="112"/>
    <w:bookmarkStart w:id="114"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13">
        <w:r>
          <w:rPr>
            <w:rStyle w:val="Hyperlink"/>
          </w:rPr>
          <w:t xml:space="preserve">https://doi.org/10.1109/JSTARS.2023.3244098</w:t>
        </w:r>
      </w:hyperlink>
    </w:p>
    <w:bookmarkEnd w:id="114"/>
    <w:bookmarkStart w:id="116"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15">
        <w:r>
          <w:rPr>
            <w:rStyle w:val="Hyperlink"/>
          </w:rPr>
          <w:t xml:space="preserve">https://doi.org/10.1080/01431161.2016.1192304</w:t>
        </w:r>
      </w:hyperlink>
    </w:p>
    <w:bookmarkEnd w:id="116"/>
    <w:bookmarkStart w:id="118"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17">
        <w:r>
          <w:rPr>
            <w:rStyle w:val="Hyperlink"/>
          </w:rPr>
          <w:t xml:space="preserve">https://doi.org/10.3390/rs11131581</w:t>
        </w:r>
      </w:hyperlink>
    </w:p>
    <w:bookmarkEnd w:id="118"/>
    <w:bookmarkStart w:id="120"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19">
        <w:r>
          <w:rPr>
            <w:rStyle w:val="Hyperlink"/>
          </w:rPr>
          <w:t xml:space="preserve">https://un-spider.org/advisory-support/recommended-practices/recommended-practice-google-earth-engine-flood-mapping</w:t>
        </w:r>
      </w:hyperlink>
      <w:r>
        <w:t xml:space="preserve">.</w:t>
      </w:r>
    </w:p>
    <w:bookmarkEnd w:id="120"/>
    <w:bookmarkStart w:id="122"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21">
        <w:r>
          <w:rPr>
            <w:rStyle w:val="Hyperlink"/>
          </w:rPr>
          <w:t xml:space="preserve">https://doi.org/10.1016/j.ecolmodel.2021.109692</w:t>
        </w:r>
      </w:hyperlink>
    </w:p>
    <w:bookmarkEnd w:id="122"/>
    <w:bookmarkStart w:id="124"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123">
        <w:r>
          <w:rPr>
            <w:rStyle w:val="Hyperlink"/>
          </w:rPr>
          <w:t xml:space="preserve">https://doi.org/10.1111/jfr3.13047</w:t>
        </w:r>
      </w:hyperlink>
    </w:p>
    <w:bookmarkEnd w:id="124"/>
    <w:bookmarkStart w:id="126"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25">
        <w:r>
          <w:rPr>
            <w:rStyle w:val="Hyperlink"/>
          </w:rPr>
          <w:t xml:space="preserve">https://doi.org/10.3389/feart.2023.1132722</w:t>
        </w:r>
      </w:hyperlink>
    </w:p>
    <w:bookmarkEnd w:id="126"/>
    <w:bookmarkStart w:id="128" w:name="ref-wanggat2023"/>
    <w:p>
      <w:pPr>
        <w:pStyle w:val="Bibliography"/>
      </w:pPr>
      <w:r>
        <w:t xml:space="preserve">Wang, Z., Lyu, H., &amp; Zhang, C. (2023). Pluvial flood susceptibility mapping for data-scarce urban areas using graph attention network and basic flood conditioning factors.</w:t>
      </w:r>
      <w:r>
        <w:t xml:space="preserve"> </w:t>
      </w:r>
      <w:r>
        <w:rPr>
          <w:i/>
          <w:iCs/>
        </w:rPr>
        <w:t xml:space="preserve">Geocarto International</w:t>
      </w:r>
      <w:r>
        <w:t xml:space="preserve">,</w:t>
      </w:r>
      <w:r>
        <w:t xml:space="preserve"> </w:t>
      </w:r>
      <w:r>
        <w:rPr>
          <w:i/>
          <w:iCs/>
        </w:rPr>
        <w:t xml:space="preserve">38</w:t>
      </w:r>
      <w:r>
        <w:t xml:space="preserve">, 2275692.</w:t>
      </w:r>
      <w:r>
        <w:t xml:space="preserve"> </w:t>
      </w:r>
      <w:hyperlink r:id="rId127">
        <w:r>
          <w:rPr>
            <w:rStyle w:val="Hyperlink"/>
          </w:rPr>
          <w:t xml:space="preserve">https://doi.org/10.1080/10106049.2023.2275692</w:t>
        </w:r>
      </w:hyperlink>
    </w:p>
    <w:bookmarkEnd w:id="128"/>
    <w:bookmarkStart w:id="130"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29">
        <w:r>
          <w:rPr>
            <w:rStyle w:val="Hyperlink"/>
          </w:rPr>
          <w:t xml:space="preserve">https://doi.org/10.1111/jfr3.70045</w:t>
        </w:r>
      </w:hyperlink>
    </w:p>
    <w:bookmarkEnd w:id="130"/>
    <w:bookmarkStart w:id="13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31">
        <w:r>
          <w:rPr>
            <w:rStyle w:val="Hyperlink"/>
          </w:rPr>
          <w:t xml:space="preserve">https://doi.org/10.1145/775047.775151</w:t>
        </w:r>
      </w:hyperlink>
    </w:p>
    <w:bookmarkEnd w:id="132"/>
    <w:bookmarkStart w:id="134"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33">
        <w:r>
          <w:rPr>
            <w:rStyle w:val="Hyperlink"/>
          </w:rPr>
          <w:t xml:space="preserve">https://doi.org/10.1111/jfr3.12715</w:t>
        </w:r>
      </w:hyperlink>
    </w:p>
    <w:bookmarkEnd w:id="134"/>
    <w:bookmarkEnd w:id="135"/>
    <w:bookmarkEnd w:id="136"/>
    <w:bookmarkStart w:id="144" w:name="tables"/>
    <w:p>
      <w:pPr>
        <w:pStyle w:val="Heading1"/>
      </w:pPr>
      <w:r>
        <w:t xml:space="preserve">Tables</w:t>
      </w:r>
    </w:p>
    <w:bookmarkStart w:id="137"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37"/>
    <w:bookmarkStart w:id="138"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38"/>
    <w:bookmarkStart w:id="139"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39"/>
    <w:bookmarkStart w:id="140"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40"/>
    <w:bookmarkStart w:id="141"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41"/>
    <w:bookmarkStart w:id="142"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42"/>
    <w:bookmarkStart w:id="143"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0.030</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43"/>
    <w:bookmarkEnd w:id="144"/>
    <w:bookmarkStart w:id="145"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45"/>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7"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3"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3" Type="http://schemas.openxmlformats.org/officeDocument/2006/relationships/hyperlink" Target="https://doi.org/10.1111/jfr3.13047" TargetMode="External"/><Relationship Id="rId129"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31"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5"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1706.02216" TargetMode="External"/><Relationship Id="rId109" Type="http://schemas.openxmlformats.org/officeDocument/2006/relationships/hyperlink" Target="https://doi.org/10.1007/s00477-020-01862-5" TargetMode="External"/><Relationship Id="rId57" Type="http://schemas.openxmlformats.org/officeDocument/2006/relationships/hyperlink" Target="https://doi.org/10.1007/s44288-026-00759-0" TargetMode="External"/><Relationship Id="rId83" Type="http://schemas.openxmlformats.org/officeDocument/2006/relationships/hyperlink" Target="https://doi.org/10.1016/j.catena.2025.109029" TargetMode="External"/><Relationship Id="rId121" Type="http://schemas.openxmlformats.org/officeDocument/2006/relationships/hyperlink" Target="https://doi.org/10.1016/j.ecolmodel.2021.109692" TargetMode="External"/><Relationship Id="rId77" Type="http://schemas.openxmlformats.org/officeDocument/2006/relationships/hyperlink" Target="https://doi.org/10.1016/j.envc.2023.100833" TargetMode="External"/><Relationship Id="rId63" Type="http://schemas.openxmlformats.org/officeDocument/2006/relationships/hyperlink" Target="https://doi.org/10.1016/j.geomorph.2006.04.007" TargetMode="External"/><Relationship Id="rId75" Type="http://schemas.openxmlformats.org/officeDocument/2006/relationships/hyperlink" Target="https://doi.org/10.1016/j.gsf.2020.09.006" TargetMode="External"/><Relationship Id="rId99" Type="http://schemas.openxmlformats.org/officeDocument/2006/relationships/hyperlink" Target="https://doi.org/10.1016/j.heliyon.2023.e16459" TargetMode="External"/><Relationship Id="rId45" Type="http://schemas.openxmlformats.org/officeDocument/2006/relationships/hyperlink" Target="https://doi.org/10.1016/j.jenvman.2022.116813" TargetMode="External"/><Relationship Id="rId89" Type="http://schemas.openxmlformats.org/officeDocument/2006/relationships/hyperlink" Target="https://doi.org/10.1016/j.jhydrol.2011.03.051" TargetMode="External"/><Relationship Id="rId85" Type="http://schemas.openxmlformats.org/officeDocument/2006/relationships/hyperlink" Target="https://doi.org/10.1023/A:1024068626366" TargetMode="External"/><Relationship Id="rId53" Type="http://schemas.openxmlformats.org/officeDocument/2006/relationships/hyperlink" Target="https://doi.org/10.1023/B:NHAZ.0000007172.62651.2b" TargetMode="External"/><Relationship Id="rId81" Type="http://schemas.openxmlformats.org/officeDocument/2006/relationships/hyperlink" Target="https://doi.org/10.1029/2025WR041360" TargetMode="External"/><Relationship Id="rId91" Type="http://schemas.openxmlformats.org/officeDocument/2006/relationships/hyperlink" Target="https://doi.org/10.1038/nature20584" TargetMode="External"/><Relationship Id="rId79" Type="http://schemas.openxmlformats.org/officeDocument/2006/relationships/hyperlink" Target="https://doi.org/10.1038/s41467-019-10442-3" TargetMode="External"/><Relationship Id="rId93" Type="http://schemas.openxmlformats.org/officeDocument/2006/relationships/hyperlink" Target="https://doi.org/10.1038/s41467-020-18321-y" TargetMode="External"/><Relationship Id="rId73" Type="http://schemas.openxmlformats.org/officeDocument/2006/relationships/hyperlink" Target="https://doi.org/10.1038/s41467-023-39698-6" TargetMode="External"/><Relationship Id="rId111" Type="http://schemas.openxmlformats.org/officeDocument/2006/relationships/hyperlink" Target="https://doi.org/10.1038/s41586-021-03695-w" TargetMode="External"/><Relationship Id="rId115" Type="http://schemas.openxmlformats.org/officeDocument/2006/relationships/hyperlink" Target="https://doi.org/10.1080/01431161.2016.1192304" TargetMode="External"/><Relationship Id="rId51" Type="http://schemas.openxmlformats.org/officeDocument/2006/relationships/hyperlink" Target="https://doi.org/10.1080/02626667909491834" TargetMode="External"/><Relationship Id="rId127" Type="http://schemas.openxmlformats.org/officeDocument/2006/relationships/hyperlink" Target="https://doi.org/10.1080/10106049.2023.2275692" TargetMode="External"/><Relationship Id="rId69" Type="http://schemas.openxmlformats.org/officeDocument/2006/relationships/hyperlink" Target="https://doi.org/10.1088/1748-9326/abc216" TargetMode="External"/><Relationship Id="rId71" Type="http://schemas.openxmlformats.org/officeDocument/2006/relationships/hyperlink" Target="https://doi.org/10.1088/1748-9326/ac4d4f" TargetMode="External"/><Relationship Id="rId61" Type="http://schemas.openxmlformats.org/officeDocument/2006/relationships/hyperlink" Target="https://doi.org/10.1109/CVPRW59228.2023.00209" TargetMode="External"/><Relationship Id="rId113" Type="http://schemas.openxmlformats.org/officeDocument/2006/relationships/hyperlink" Target="https://doi.org/10.1109/JSTARS.2023.3244098" TargetMode="External"/><Relationship Id="rId97" Type="http://schemas.openxmlformats.org/officeDocument/2006/relationships/hyperlink" Target="https://doi.org/10.1111/ecog.02881" TargetMode="External"/><Relationship Id="rId133" Type="http://schemas.openxmlformats.org/officeDocument/2006/relationships/hyperlink" Target="https://doi.org/10.1111/jfr3.12715" TargetMode="External"/><Relationship Id="rId105" Type="http://schemas.openxmlformats.org/officeDocument/2006/relationships/hyperlink" Target="https://doi.org/10.1111/jfr3.12770" TargetMode="External"/><Relationship Id="rId101" Type="http://schemas.openxmlformats.org/officeDocument/2006/relationships/hyperlink" Target="https://doi.org/10.1111/jfr3.12913" TargetMode="External"/><Relationship Id="rId123" Type="http://schemas.openxmlformats.org/officeDocument/2006/relationships/hyperlink" Target="https://doi.org/10.1111/jfr3.13047" TargetMode="External"/><Relationship Id="rId129" Type="http://schemas.openxmlformats.org/officeDocument/2006/relationships/hyperlink" Target="https://doi.org/10.1111/jfr3.70045" TargetMode="External"/><Relationship Id="rId95" Type="http://schemas.openxmlformats.org/officeDocument/2006/relationships/hyperlink" Target="https://doi.org/10.1111/jfr3.70089" TargetMode="External"/><Relationship Id="rId55" Type="http://schemas.openxmlformats.org/officeDocument/2006/relationships/hyperlink" Target="https://doi.org/10.1111/jfr3.70201" TargetMode="External"/><Relationship Id="rId87" Type="http://schemas.openxmlformats.org/officeDocument/2006/relationships/hyperlink" Target="https://doi.org/10.1145/1102351.1102430" TargetMode="External"/><Relationship Id="rId131" Type="http://schemas.openxmlformats.org/officeDocument/2006/relationships/hyperlink" Target="https://doi.org/10.1145/775047.775151" TargetMode="External"/><Relationship Id="rId107" Type="http://schemas.openxmlformats.org/officeDocument/2006/relationships/hyperlink" Target="https://doi.org/10.2166/wcc.2026.264" TargetMode="External"/><Relationship Id="rId59" Type="http://schemas.openxmlformats.org/officeDocument/2006/relationships/hyperlink" Target="https://doi.org/10.2760/094023" TargetMode="External"/><Relationship Id="rId125" Type="http://schemas.openxmlformats.org/officeDocument/2006/relationships/hyperlink" Target="https://doi.org/10.3389/feart.2023.1132722" TargetMode="External"/><Relationship Id="rId117" Type="http://schemas.openxmlformats.org/officeDocument/2006/relationships/hyperlink" Target="https://doi.org/10.3390/rs11131581" TargetMode="External"/><Relationship Id="rId47" Type="http://schemas.openxmlformats.org/officeDocument/2006/relationships/hyperlink" Target="https://doi.org/10.3390/rs16040656" TargetMode="External"/><Relationship Id="rId103" Type="http://schemas.openxmlformats.org/officeDocument/2006/relationships/hyperlink" Target="https://doi.org/10.48550/arXiv.2603.15681" TargetMode="External"/><Relationship Id="rId49" Type="http://schemas.openxmlformats.org/officeDocument/2006/relationships/hyperlink" Target="https://doi.org/10.5194/hess-26-4345-2022" TargetMode="External"/><Relationship Id="rId65" Type="http://schemas.openxmlformats.org/officeDocument/2006/relationships/hyperlink" Target="https://doi.org/10.5194/isprs-archives-XLIII-B3-2022-1097-2022" TargetMode="External"/><Relationship Id="rId40" Type="http://schemas.openxmlformats.org/officeDocument/2006/relationships/hyperlink" Target="https://doi.org/10.5281/zenodo.23130732" TargetMode="External"/><Relationship Id="rId42" Type="http://schemas.openxmlformats.org/officeDocument/2006/relationships/hyperlink" Target="https://fermium.systems/hazmapper" TargetMode="External"/><Relationship Id="rId41" Type="http://schemas.openxmlformats.org/officeDocument/2006/relationships/hyperlink" Target="https://github.com/rakibhhridoy/rimes-mapathon" TargetMode="External"/><Relationship Id="rId119"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2026-10-09T14:56:55Z</dcterms:created>
  <dcterms:modified xsi:type="dcterms:W3CDTF">2026-10-09T14:56:55Z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