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A757" w14:textId="77777777" w:rsidR="009E5696" w:rsidRDefault="00000000">
      <w:pPr>
        <w:jc w:val="right"/>
        <w:rPr>
          <w:b/>
          <w:bCs/>
        </w:rPr>
      </w:pPr>
      <w:r>
        <w:rPr>
          <w:b/>
          <w:bCs/>
          <w:noProof/>
        </w:rPr>
        <w:pict w14:anchorId="691437B6">
          <v:shapetype id="_x0000_t202" coordsize="21600,21600" o:spt="202" path="m,l,21600r21600,l21600,xe">
            <v:stroke joinstyle="miter"/>
            <v:path gradientshapeok="t" o:connecttype="rect"/>
          </v:shapetype>
          <v:shape id="Text Box 2" o:spid="_x0000_s2050" type="#_x0000_t202" style="position:absolute;left:0;text-align:left;margin-left:-48.8pt;margin-top:-.1pt;width:36.85pt;height:710.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Cz9QEAAM0DAAAOAAAAZHJzL2Uyb0RvYy54bWysU8Fu2zAMvQ/YPwi6L06ytGmMOEWXIsOA&#10;rhvQ9QNkWbaFyaJGKbHz96PkNA2621AfCFGUnvgen9e3Q2fYQaHXYAs+m0w5U1ZCpW1T8Odfu083&#10;nPkgbCUMWFXwo/L8dvPxw7p3uZpDC6ZSyAjE+rx3BW9DcHmWedmqTvgJOGWpWAN2IlCKTVah6Am9&#10;M9l8Or3OesDKIUjlPe3ej0W+Sfh1rWT4UddeBWYKTr2FFDHFMsZssxZ5g8K1Wp7aEP/RRSe0pUfP&#10;UPciCLZH/Q9UpyWChzpMJHQZ1LWWKnEgNrPpGzZPrXAqcSFxvDvL5N8PVj4entxPZGH4AgMNMJHw&#10;7gHkb88sbFthG3WHCH2rREUPz6JkWe98froapfa5jyBl/x0qGrLYB0hAQ41dVIV4MkKnARzPoqsh&#10;MEmbi+vlanXFmaTSajq/WXxOU8lE/nLboQ9fFXQsLgqONNSELg4PPsRuRP5yJD7mwehqp41JCTbl&#10;1iA7CDLALn2JwJtjxsbDFuK1ETHuJJqR2cgxDOVAxUi3hOpIhBFGQ9EPQIsY50si2ZOfCu7/7AUq&#10;zsw3S7qtZotFNGBKFlfLOSV4WSkvK8LKFsimgbNxuQ2jafcOddPSY+OkLNyR1rVOMrw2dmqdPJPU&#10;Ofk7mvIyT6de/8LNXwAAAP//AwBQSwMEFAAGAAgAAAAhAP442RzfAAAACgEAAA8AAABkcnMvZG93&#10;bnJldi54bWxMj8FOwzAMhu9IvENkJG5dug4VVppOA4kT0iRGxdlrTFPWJFWTdYWnx5zYzdb/6ffn&#10;cjPbXkw0hs47BctFCoJc43XnWgX1+0vyACJEdBp770jBNwXYVNdXJRban90bTfvYCi5xoUAFJsah&#10;kDI0hiyGhR/IcfbpR4uR17GVesQzl9teZmmaS4ud4wsGB3o21Bz3J6tgSn/qZoVevu6+8vq4NdnT&#10;tPtQ6vZm3j6CiDTHfxj+9FkdKnY6+JPTQfQKkvV9zigPGQjOk2y1BnFg8C5b5iCrUl6+UP0CAAD/&#10;/wMAUEsBAi0AFAAGAAgAAAAhALaDOJL+AAAA4QEAABMAAAAAAAAAAAAAAAAAAAAAAFtDb250ZW50&#10;X1R5cGVzXS54bWxQSwECLQAUAAYACAAAACEAOP0h/9YAAACUAQAACwAAAAAAAAAAAAAAAAAvAQAA&#10;X3JlbHMvLnJlbHNQSwECLQAUAAYACAAAACEA8Uaws/UBAADNAwAADgAAAAAAAAAAAAAAAAAuAgAA&#10;ZHJzL2Uyb0RvYy54bWxQSwECLQAUAAYACAAAACEA/jjZHN8AAAAKAQAADwAAAAAAAAAAAAAAAABP&#10;" stroked="f">
            <v:textbox style="layout-flow:vertical;mso-layout-flow-alt:bottom-to-top">
              <w:txbxContent>
                <w:p w14:paraId="6722E04A" w14:textId="77777777" w:rsidR="009E5696" w:rsidRDefault="009E5696">
                  <w:pPr>
                    <w:spacing w:after="113" w:line="140" w:lineRule="exact"/>
                  </w:pPr>
                </w:p>
              </w:txbxContent>
            </v:textbox>
          </v:shape>
        </w:pict>
      </w:r>
      <w:r w:rsidR="00273474">
        <w:rPr>
          <w:b/>
          <w:bCs/>
        </w:rPr>
        <w:t>Filed Pursuant to Rule 424(b)(2)</w:t>
      </w:r>
      <w:r w:rsidR="00273474">
        <w:rPr>
          <w:b/>
          <w:bCs/>
        </w:rPr>
        <w:br/>
        <w:t>Registration Statement Nos. 333-290665 and 333-290665-01</w:t>
      </w:r>
    </w:p>
    <w:p w14:paraId="3A9C9C28" w14:textId="77777777" w:rsidR="009E5696" w:rsidRDefault="009E5696">
      <w:pPr>
        <w:spacing w:line="240" w:lineRule="auto"/>
        <w:jc w:val="right"/>
      </w:pPr>
    </w:p>
    <w:p w14:paraId="251F856C" w14:textId="77777777" w:rsidR="009E5696" w:rsidRDefault="00273474">
      <w:pPr>
        <w:pStyle w:val="NormalIndentLevel3"/>
        <w:ind w:left="1797"/>
        <w:jc w:val="center"/>
        <w:rPr>
          <w:color w:val="000000" w:themeColor="text1"/>
        </w:rPr>
      </w:pPr>
      <w:r>
        <w:rPr>
          <w:color w:val="000000" w:themeColor="text1"/>
        </w:rPr>
        <w:t>Pricing Supplement Dated March 24, 2026.</w:t>
      </w:r>
    </w:p>
    <w:p w14:paraId="454E405F" w14:textId="77777777" w:rsidR="009E5696" w:rsidRDefault="009E5696">
      <w:pPr>
        <w:spacing w:line="240" w:lineRule="auto"/>
      </w:pPr>
    </w:p>
    <w:tbl>
      <w:tblPr>
        <w:tblW w:w="5000" w:type="pct"/>
        <w:tblInd w:w="10" w:type="dxa"/>
        <w:tblCellMar>
          <w:left w:w="10" w:type="dxa"/>
          <w:right w:w="10" w:type="dxa"/>
        </w:tblCellMar>
        <w:tblLook w:val="01E0" w:firstRow="1" w:lastRow="1" w:firstColumn="1" w:lastColumn="1" w:noHBand="0" w:noVBand="0"/>
      </w:tblPr>
      <w:tblGrid>
        <w:gridCol w:w="3139"/>
        <w:gridCol w:w="6986"/>
      </w:tblGrid>
      <w:tr w:rsidR="009E5696" w14:paraId="3CF50D8B" w14:textId="77777777">
        <w:tc>
          <w:tcPr>
            <w:tcW w:w="1550" w:type="pct"/>
          </w:tcPr>
          <w:p w14:paraId="660868EE" w14:textId="77777777" w:rsidR="009E5696" w:rsidRDefault="00273474">
            <w:pPr>
              <w:pStyle w:val="Image"/>
            </w:pPr>
            <w:r>
              <w:rPr>
                <w:noProof/>
              </w:rPr>
              <w:drawing>
                <wp:inline distT="0" distB="0" distL="0" distR="0" wp14:anchorId="47AA2825" wp14:editId="65D2E3EA">
                  <wp:extent cx="1932305" cy="69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2305" cy="698500"/>
                          </a:xfrm>
                          <a:prstGeom prst="rect">
                            <a:avLst/>
                          </a:prstGeom>
                          <a:noFill/>
                          <a:ln>
                            <a:noFill/>
                          </a:ln>
                        </pic:spPr>
                      </pic:pic>
                    </a:graphicData>
                  </a:graphic>
                </wp:inline>
              </w:drawing>
            </w:r>
          </w:p>
        </w:tc>
        <w:tc>
          <w:tcPr>
            <w:tcW w:w="3450" w:type="pct"/>
          </w:tcPr>
          <w:p w14:paraId="6BAE6C4B" w14:textId="77777777" w:rsidR="009E5696" w:rsidRDefault="00273474">
            <w:pPr>
              <w:pStyle w:val="DocumentHeading"/>
              <w:jc w:val="center"/>
            </w:pPr>
            <w:r>
              <w:rPr>
                <w:b/>
                <w:bCs/>
              </w:rPr>
              <w:t>BofA Finance LLC</w:t>
            </w:r>
          </w:p>
          <w:p w14:paraId="1D7D606D" w14:textId="77777777" w:rsidR="009E5696" w:rsidRDefault="00273474">
            <w:pPr>
              <w:pStyle w:val="SubHeading"/>
              <w:jc w:val="center"/>
            </w:pPr>
            <w:r>
              <w:t>$937,000</w:t>
            </w:r>
          </w:p>
          <w:p w14:paraId="6DE8EDB7" w14:textId="77777777" w:rsidR="009E5696" w:rsidRDefault="00273474">
            <w:pPr>
              <w:jc w:val="center"/>
            </w:pPr>
            <w:r>
              <w:t>Digital MSCI EAFE</w:t>
            </w:r>
            <w:r>
              <w:rPr>
                <w:vertAlign w:val="superscript"/>
              </w:rPr>
              <w:t>®</w:t>
            </w:r>
            <w:r>
              <w:t xml:space="preserve"> Index-Linked Notes due April 23, 2027</w:t>
            </w:r>
          </w:p>
          <w:p w14:paraId="1BF4878F" w14:textId="77777777" w:rsidR="009E5696" w:rsidRDefault="00273474">
            <w:pPr>
              <w:jc w:val="center"/>
              <w:rPr>
                <w:b/>
                <w:bCs/>
              </w:rPr>
            </w:pPr>
            <w:r>
              <w:rPr>
                <w:b/>
                <w:bCs/>
              </w:rPr>
              <w:t>Fully and Unconditionally Guaranteed by</w:t>
            </w:r>
          </w:p>
          <w:p w14:paraId="0F013904" w14:textId="77777777" w:rsidR="009E5696" w:rsidRDefault="00273474">
            <w:pPr>
              <w:jc w:val="center"/>
            </w:pPr>
            <w:r>
              <w:rPr>
                <w:b/>
                <w:bCs/>
              </w:rPr>
              <w:t>Bank of America Corporation</w:t>
            </w:r>
          </w:p>
        </w:tc>
      </w:tr>
    </w:tbl>
    <w:p w14:paraId="20156517" w14:textId="77777777" w:rsidR="009E5696" w:rsidRDefault="009E5696">
      <w:pPr>
        <w:pStyle w:val="GSBody"/>
      </w:pPr>
      <w:bookmarkStart w:id="0" w:name="summaryInformation"/>
      <w:bookmarkStart w:id="1" w:name="hyposExamples"/>
      <w:bookmarkStart w:id="2" w:name="riskFactors"/>
      <w:bookmarkStart w:id="3" w:name="underlierDescription"/>
      <w:bookmarkStart w:id="4" w:name="supplementalPlan"/>
      <w:bookmarkStart w:id="5" w:name="structuringNotes"/>
      <w:bookmarkStart w:id="6" w:name="taxInformation"/>
      <w:bookmarkEnd w:id="0"/>
      <w:bookmarkEnd w:id="1"/>
      <w:bookmarkEnd w:id="2"/>
      <w:bookmarkEnd w:id="3"/>
      <w:bookmarkEnd w:id="4"/>
      <w:bookmarkEnd w:id="5"/>
      <w:bookmarkEnd w:id="6"/>
    </w:p>
    <w:p w14:paraId="6FD3E3CB" w14:textId="77777777" w:rsidR="009E5696" w:rsidRDefault="00273474">
      <w:pPr>
        <w:pStyle w:val="GSPara"/>
      </w:pPr>
      <w:r>
        <w:rPr>
          <w:b/>
        </w:rPr>
        <w:t xml:space="preserve">The notes do not bear interest. </w:t>
      </w:r>
      <w:r>
        <w:t>The amount that you will be paid on your notes on the stated maturity date (April 23, 2027) is based on the performance of the MSCI EAFE</w:t>
      </w:r>
      <w:r>
        <w:rPr>
          <w:vertAlign w:val="superscript"/>
        </w:rPr>
        <w:t>®</w:t>
      </w:r>
      <w:r>
        <w:t xml:space="preserve"> Index (which we refer to as the “underlier”), as measured from the trade date (March 24, 2026) to and including the determination date (April 21, 2027). If the final underlier level on the determination date is greater than or equal to the threshold level of 90.00% of the initial underlier level (2,851.84, which was the closing level of the underlier on the trade date), you will receive the threshold settlement amount ($1,111.60 for each $1,000 face amount of your notes). </w:t>
      </w:r>
      <w:r>
        <w:rPr>
          <w:b/>
        </w:rPr>
        <w:t>However, if the final underlier level declines by more than 10.00% from the initial underlier level, you will be exposed on a leveraged basis to any decrease in the final underlier level beyond 10.00%. In this case, the return on your notes will be negative. You may lose some or all of your investment in the notes.</w:t>
      </w:r>
    </w:p>
    <w:p w14:paraId="2ED6C4AE" w14:textId="77777777" w:rsidR="009E5696" w:rsidRDefault="00273474">
      <w:pPr>
        <w:pStyle w:val="GSPara"/>
        <w:spacing w:before="150"/>
      </w:pPr>
      <w:r>
        <w:t>To determine your payment at maturity, we will calculate the underlier return, which is the percentage increase or decrease in the final underlier level from the initial underlier level. On the stated maturity date, for each $1,000 face amount of your notes, you will receive an amount in cash equal to:</w:t>
      </w:r>
    </w:p>
    <w:p w14:paraId="00440A47" w14:textId="77777777" w:rsidR="009E5696" w:rsidRDefault="00273474">
      <w:pPr>
        <w:pStyle w:val="GSBulletList"/>
        <w:spacing w:line="200" w:lineRule="atLeast"/>
      </w:pPr>
      <w:r>
        <w:rPr>
          <w:sz w:val="18"/>
        </w:rPr>
        <w:t xml:space="preserve">if the underlier return is </w:t>
      </w:r>
      <w:r>
        <w:rPr>
          <w:i/>
          <w:sz w:val="18"/>
        </w:rPr>
        <w:t>greater than</w:t>
      </w:r>
      <w:r>
        <w:rPr>
          <w:sz w:val="18"/>
        </w:rPr>
        <w:t xml:space="preserve"> or </w:t>
      </w:r>
      <w:r>
        <w:rPr>
          <w:i/>
          <w:sz w:val="18"/>
        </w:rPr>
        <w:t>equal to</w:t>
      </w:r>
      <w:r>
        <w:rPr>
          <w:sz w:val="18"/>
        </w:rPr>
        <w:t xml:space="preserve"> -10.00% (the final underlier level is </w:t>
      </w:r>
      <w:r>
        <w:rPr>
          <w:i/>
          <w:sz w:val="18"/>
        </w:rPr>
        <w:t xml:space="preserve">greater than or equal to </w:t>
      </w:r>
      <w:r>
        <w:rPr>
          <w:sz w:val="18"/>
        </w:rPr>
        <w:t>90.00% of the initial underlier level), the threshold settlement amount; or</w:t>
      </w:r>
    </w:p>
    <w:p w14:paraId="4D4AE8B6" w14:textId="77777777" w:rsidR="009E5696" w:rsidRDefault="00273474">
      <w:pPr>
        <w:pStyle w:val="GSBulletList"/>
        <w:spacing w:line="200" w:lineRule="atLeast"/>
      </w:pPr>
      <w:r>
        <w:rPr>
          <w:sz w:val="18"/>
        </w:rPr>
        <w:t xml:space="preserve">if the underlier return is </w:t>
      </w:r>
      <w:r>
        <w:rPr>
          <w:i/>
          <w:sz w:val="18"/>
        </w:rPr>
        <w:t>negative</w:t>
      </w:r>
      <w:r>
        <w:rPr>
          <w:sz w:val="18"/>
        </w:rPr>
        <w:t xml:space="preserve"> and is </w:t>
      </w:r>
      <w:r>
        <w:rPr>
          <w:i/>
          <w:sz w:val="18"/>
        </w:rPr>
        <w:t>below</w:t>
      </w:r>
      <w:r>
        <w:rPr>
          <w:sz w:val="18"/>
        </w:rPr>
        <w:t xml:space="preserve"> -10.00% (the final underlier level is </w:t>
      </w:r>
      <w:r>
        <w:rPr>
          <w:i/>
          <w:sz w:val="18"/>
        </w:rPr>
        <w:t>less than</w:t>
      </w:r>
      <w:r>
        <w:rPr>
          <w:sz w:val="18"/>
        </w:rPr>
        <w:t xml:space="preserve"> the initial underlier level by more than 10.00%), the </w:t>
      </w:r>
      <w:r>
        <w:rPr>
          <w:i/>
          <w:sz w:val="18"/>
        </w:rPr>
        <w:t>sum</w:t>
      </w:r>
      <w:r>
        <w:rPr>
          <w:sz w:val="18"/>
        </w:rPr>
        <w:t xml:space="preserve"> of (i) $1,000 </w:t>
      </w:r>
      <w:r>
        <w:rPr>
          <w:i/>
          <w:sz w:val="18"/>
        </w:rPr>
        <w:t>plus</w:t>
      </w:r>
      <w:r>
        <w:rPr>
          <w:sz w:val="18"/>
        </w:rPr>
        <w:t xml:space="preserve"> (ii) the </w:t>
      </w:r>
      <w:r>
        <w:rPr>
          <w:i/>
          <w:sz w:val="18"/>
        </w:rPr>
        <w:t>product</w:t>
      </w:r>
      <w:r>
        <w:rPr>
          <w:sz w:val="18"/>
        </w:rPr>
        <w:t xml:space="preserve"> of (a) approximately 1.11111 </w:t>
      </w:r>
      <w:r>
        <w:rPr>
          <w:i/>
          <w:sz w:val="18"/>
        </w:rPr>
        <w:t>times</w:t>
      </w:r>
      <w:r>
        <w:rPr>
          <w:sz w:val="18"/>
        </w:rPr>
        <w:t xml:space="preserve"> (b) the </w:t>
      </w:r>
      <w:r>
        <w:rPr>
          <w:i/>
          <w:sz w:val="18"/>
        </w:rPr>
        <w:t>sum</w:t>
      </w:r>
      <w:r>
        <w:rPr>
          <w:sz w:val="18"/>
        </w:rPr>
        <w:t xml:space="preserve"> of the underlier return </w:t>
      </w:r>
      <w:r>
        <w:rPr>
          <w:i/>
          <w:sz w:val="18"/>
        </w:rPr>
        <w:t>plus</w:t>
      </w:r>
      <w:r>
        <w:rPr>
          <w:sz w:val="18"/>
        </w:rPr>
        <w:t xml:space="preserve"> 10.00% </w:t>
      </w:r>
      <w:r>
        <w:rPr>
          <w:i/>
          <w:sz w:val="18"/>
        </w:rPr>
        <w:t>times</w:t>
      </w:r>
      <w:r>
        <w:rPr>
          <w:sz w:val="18"/>
        </w:rPr>
        <w:t xml:space="preserve"> (c) $1,000. You will receive less than the face amount of your notes.</w:t>
      </w:r>
    </w:p>
    <w:p w14:paraId="4DCE5A52" w14:textId="5DC00DC4" w:rsidR="009E5696" w:rsidRDefault="00273474">
      <w:pPr>
        <w:pStyle w:val="GSPara"/>
        <w:spacing w:before="200" w:after="0"/>
      </w:pPr>
      <w:r>
        <w:rPr>
          <w:b/>
        </w:rPr>
        <w:t>The notes will not be listed on any securities exchange. Investment in the notes involves certain risks, including the credit risk of BofA Finance LLC (“BofA Finance”), as issuer of the notes, and the credit risk of Bank of America Corporation (“BAC” or the “Guarantor”), as guarantor of the notes. Potential purchasers of the notes should consider the information in “Risk Factors” beginning on page PS-</w:t>
      </w:r>
      <w:r>
        <w:rPr>
          <w:b/>
        </w:rPr>
        <w:fldChar w:fldCharType="begin"/>
      </w:r>
      <w:r>
        <w:rPr>
          <w:b/>
        </w:rPr>
        <w:instrText xml:space="preserve"> PAGEREF gsRiskFactorsLink \h </w:instrText>
      </w:r>
      <w:r>
        <w:rPr>
          <w:b/>
        </w:rPr>
      </w:r>
      <w:r>
        <w:rPr>
          <w:b/>
        </w:rPr>
        <w:fldChar w:fldCharType="separate"/>
      </w:r>
      <w:r w:rsidR="00C52DF6">
        <w:rPr>
          <w:b/>
          <w:noProof/>
        </w:rPr>
        <w:t>11</w:t>
      </w:r>
      <w:r>
        <w:rPr>
          <w:b/>
        </w:rPr>
        <w:fldChar w:fldCharType="end"/>
      </w:r>
      <w:r>
        <w:rPr>
          <w:b/>
        </w:rPr>
        <w:t xml:space="preserve"> of this pricing supplement, page PS-3 of the accompanying product supplement, page S-7 of the accompanying prospectus supplement, and page 7 of the accompanying prospectus.</w:t>
      </w:r>
    </w:p>
    <w:p w14:paraId="006BD99A" w14:textId="77777777" w:rsidR="009E5696" w:rsidRDefault="009E5696">
      <w:pPr>
        <w:pStyle w:val="GSPara"/>
        <w:spacing w:after="0"/>
      </w:pPr>
    </w:p>
    <w:p w14:paraId="4487AC4E" w14:textId="09233A8A" w:rsidR="009E5696" w:rsidRDefault="00273474">
      <w:pPr>
        <w:pStyle w:val="GSPara"/>
        <w:spacing w:after="0"/>
      </w:pPr>
      <w:r>
        <w:rPr>
          <w:b/>
          <w:i/>
        </w:rPr>
        <w:t>As of the trade date, the initial estimated value of the notes is $988.70 per $1,000 in face amount. See “Summary Information” beginning on page PS-</w:t>
      </w:r>
      <w:r w:rsidR="00DA6E38">
        <w:rPr>
          <w:b/>
          <w:i/>
        </w:rPr>
        <w:t>3</w:t>
      </w:r>
      <w:r>
        <w:rPr>
          <w:b/>
          <w:i/>
        </w:rPr>
        <w:t xml:space="preserve"> of this pricing supplement, “Risk Factors” beginning on page PS-</w:t>
      </w:r>
      <w:r>
        <w:rPr>
          <w:b/>
          <w:i/>
        </w:rPr>
        <w:fldChar w:fldCharType="begin"/>
      </w:r>
      <w:r>
        <w:rPr>
          <w:b/>
          <w:i/>
        </w:rPr>
        <w:instrText xml:space="preserve"> PAGEREF gsRiskFactorsLink \h </w:instrText>
      </w:r>
      <w:r>
        <w:rPr>
          <w:b/>
          <w:i/>
        </w:rPr>
      </w:r>
      <w:r>
        <w:rPr>
          <w:b/>
          <w:i/>
        </w:rPr>
        <w:fldChar w:fldCharType="separate"/>
      </w:r>
      <w:r w:rsidR="00C52DF6">
        <w:rPr>
          <w:b/>
          <w:i/>
          <w:noProof/>
        </w:rPr>
        <w:t>11</w:t>
      </w:r>
      <w:r>
        <w:rPr>
          <w:b/>
          <w:i/>
        </w:rPr>
        <w:fldChar w:fldCharType="end"/>
      </w:r>
      <w:r>
        <w:rPr>
          <w:b/>
          <w:i/>
        </w:rPr>
        <w:t xml:space="preserve"> of this pricing supplement and “Structuring the Notes” on page PS-</w:t>
      </w:r>
      <w:r>
        <w:rPr>
          <w:b/>
          <w:i/>
        </w:rPr>
        <w:fldChar w:fldCharType="begin"/>
      </w:r>
      <w:r>
        <w:rPr>
          <w:b/>
          <w:i/>
        </w:rPr>
        <w:instrText xml:space="preserve"> PAGEREF gsStructuringNotesLink \h </w:instrText>
      </w:r>
      <w:r>
        <w:rPr>
          <w:b/>
          <w:i/>
        </w:rPr>
      </w:r>
      <w:r>
        <w:rPr>
          <w:b/>
          <w:i/>
        </w:rPr>
        <w:fldChar w:fldCharType="separate"/>
      </w:r>
      <w:r w:rsidR="00C52DF6">
        <w:rPr>
          <w:b/>
          <w:i/>
          <w:noProof/>
        </w:rPr>
        <w:t>27</w:t>
      </w:r>
      <w:r>
        <w:rPr>
          <w:b/>
          <w:i/>
        </w:rPr>
        <w:fldChar w:fldCharType="end"/>
      </w:r>
      <w:r>
        <w:rPr>
          <w:b/>
          <w:i/>
        </w:rPr>
        <w:t xml:space="preserve"> of this pricing supplement for additional information. The actual value of your notes at any time will reflect many factors and cannot be predicted with accuracy.</w:t>
      </w:r>
    </w:p>
    <w:p w14:paraId="23EA117E" w14:textId="77777777" w:rsidR="009E5696" w:rsidRDefault="009E5696">
      <w:pPr>
        <w:pStyle w:val="GSPara"/>
        <w:spacing w:after="0"/>
      </w:pPr>
    </w:p>
    <w:tbl>
      <w:tblPr>
        <w:tblW w:w="0" w:type="auto"/>
        <w:tblLook w:val="04A0" w:firstRow="1" w:lastRow="0" w:firstColumn="1" w:lastColumn="0" w:noHBand="0" w:noVBand="1"/>
      </w:tblPr>
      <w:tblGrid>
        <w:gridCol w:w="2797"/>
        <w:gridCol w:w="1853"/>
        <w:gridCol w:w="2745"/>
        <w:gridCol w:w="2730"/>
      </w:tblGrid>
      <w:tr w:rsidR="009E5696" w14:paraId="4394E712" w14:textId="77777777">
        <w:tc>
          <w:tcPr>
            <w:tcW w:w="3089" w:type="dxa"/>
          </w:tcPr>
          <w:p w14:paraId="65ADD5F4" w14:textId="77777777" w:rsidR="009E5696" w:rsidRDefault="00273474">
            <w:pPr>
              <w:pStyle w:val="GSPara"/>
              <w:spacing w:line="200" w:lineRule="atLeast"/>
            </w:pPr>
            <w:r>
              <w:rPr>
                <w:b/>
              </w:rPr>
              <w:t>Original issue date:</w:t>
            </w:r>
          </w:p>
        </w:tc>
        <w:tc>
          <w:tcPr>
            <w:tcW w:w="2059" w:type="dxa"/>
          </w:tcPr>
          <w:p w14:paraId="58F5E0E8" w14:textId="77777777" w:rsidR="009E5696" w:rsidRDefault="00273474">
            <w:pPr>
              <w:pStyle w:val="GSPara"/>
              <w:spacing w:line="200" w:lineRule="atLeast"/>
            </w:pPr>
            <w:r>
              <w:t>March 27, 2026</w:t>
            </w:r>
          </w:p>
        </w:tc>
        <w:tc>
          <w:tcPr>
            <w:tcW w:w="3089" w:type="dxa"/>
          </w:tcPr>
          <w:p w14:paraId="6BC21A5E" w14:textId="77777777" w:rsidR="009E5696" w:rsidRDefault="00273474">
            <w:pPr>
              <w:pStyle w:val="GSPara"/>
              <w:spacing w:line="200" w:lineRule="atLeast"/>
            </w:pPr>
            <w:r>
              <w:rPr>
                <w:b/>
              </w:rPr>
              <w:t>Price to public:</w:t>
            </w:r>
          </w:p>
        </w:tc>
        <w:tc>
          <w:tcPr>
            <w:tcW w:w="3089" w:type="dxa"/>
          </w:tcPr>
          <w:p w14:paraId="107A6C2E" w14:textId="77777777" w:rsidR="009E5696" w:rsidRDefault="00273474">
            <w:pPr>
              <w:pStyle w:val="GSPara"/>
              <w:spacing w:line="200" w:lineRule="atLeast"/>
            </w:pPr>
            <w:r>
              <w:t>100.00% of the face amount</w:t>
            </w:r>
          </w:p>
        </w:tc>
      </w:tr>
      <w:tr w:rsidR="009E5696" w14:paraId="674181DD" w14:textId="77777777">
        <w:tc>
          <w:tcPr>
            <w:tcW w:w="3089" w:type="dxa"/>
          </w:tcPr>
          <w:p w14:paraId="42716685" w14:textId="77777777" w:rsidR="009E5696" w:rsidRDefault="00273474">
            <w:pPr>
              <w:pStyle w:val="GSPara"/>
              <w:spacing w:line="200" w:lineRule="atLeast"/>
            </w:pPr>
            <w:r>
              <w:rPr>
                <w:b/>
              </w:rPr>
              <w:t>Underwriting discount</w:t>
            </w:r>
            <w:r>
              <w:rPr>
                <w:vertAlign w:val="superscript"/>
              </w:rPr>
              <w:t xml:space="preserve">(1) </w:t>
            </w:r>
            <w:r>
              <w:t>:</w:t>
            </w:r>
          </w:p>
        </w:tc>
        <w:tc>
          <w:tcPr>
            <w:tcW w:w="2059" w:type="dxa"/>
          </w:tcPr>
          <w:p w14:paraId="1376D303" w14:textId="77777777" w:rsidR="009E5696" w:rsidRDefault="00273474">
            <w:pPr>
              <w:pStyle w:val="GSPara"/>
              <w:spacing w:line="200" w:lineRule="atLeast"/>
            </w:pPr>
            <w:r>
              <w:t>0.00% of the face amount</w:t>
            </w:r>
          </w:p>
        </w:tc>
        <w:tc>
          <w:tcPr>
            <w:tcW w:w="3089" w:type="dxa"/>
          </w:tcPr>
          <w:p w14:paraId="5089D3A2" w14:textId="77777777" w:rsidR="009E5696" w:rsidRDefault="00273474">
            <w:pPr>
              <w:pStyle w:val="GSPara"/>
              <w:spacing w:line="200" w:lineRule="atLeast"/>
            </w:pPr>
            <w:r>
              <w:rPr>
                <w:b/>
              </w:rPr>
              <w:t>Net proceeds to the issuer:</w:t>
            </w:r>
          </w:p>
        </w:tc>
        <w:tc>
          <w:tcPr>
            <w:tcW w:w="3089" w:type="dxa"/>
          </w:tcPr>
          <w:p w14:paraId="5288DADF" w14:textId="77777777" w:rsidR="009E5696" w:rsidRDefault="00273474">
            <w:pPr>
              <w:pStyle w:val="GSPara"/>
              <w:spacing w:line="200" w:lineRule="atLeast"/>
            </w:pPr>
            <w:r>
              <w:t>100.00% of the face amount</w:t>
            </w:r>
          </w:p>
        </w:tc>
      </w:tr>
    </w:tbl>
    <w:p w14:paraId="571FE7DB" w14:textId="0C08A022" w:rsidR="009E5696" w:rsidRDefault="00273474">
      <w:pPr>
        <w:pStyle w:val="GSPara"/>
        <w:spacing w:after="0"/>
      </w:pPr>
      <w:r>
        <w:rPr>
          <w:vertAlign w:val="superscript"/>
        </w:rPr>
        <w:t xml:space="preserve">(1) </w:t>
      </w:r>
      <w:r>
        <w:t>BofA Securities, Inc. (“BofAS”), an affiliate of BofA Finance, will participate as selling agent in the distribution of the notes. See “Supplemental Plan of Distribution — Conflicts of Interest” beginning on page PS-</w:t>
      </w:r>
      <w:r>
        <w:fldChar w:fldCharType="begin"/>
      </w:r>
      <w:r>
        <w:instrText xml:space="preserve"> PAGEREF gsConflictOfInterestLink \h </w:instrText>
      </w:r>
      <w:r>
        <w:fldChar w:fldCharType="separate"/>
      </w:r>
      <w:r w:rsidR="00C52DF6">
        <w:rPr>
          <w:noProof/>
        </w:rPr>
        <w:t>25</w:t>
      </w:r>
      <w:r>
        <w:fldChar w:fldCharType="end"/>
      </w:r>
      <w:r>
        <w:t xml:space="preserve"> of this pricing supplement.</w:t>
      </w:r>
    </w:p>
    <w:p w14:paraId="7E0E9DF6" w14:textId="77777777" w:rsidR="009E5696" w:rsidRDefault="00273474">
      <w:pPr>
        <w:pStyle w:val="GSPara"/>
        <w:keepNext/>
        <w:keepLines/>
        <w:spacing w:after="0"/>
      </w:pPr>
      <w:r>
        <w:rPr>
          <w:b/>
        </w:rPr>
        <w:t>Neither the Securities and Exchange Commission nor any other regulatory body has approved or disapproved of these securities or passed upon the accuracy or adequacy of this pricing supplement or the accompanying prospectus, prospectus supplement or product supplement. Any representation to the contrary is a criminal offense. The notes and the related guarantee of the notes by the Guarantor are unsecured and are not savings accounts, deposits, or other obligations of a bank. The notes are not guaranteed by Bank of America, N.A. or any other bank, and are not insured by the Federal Deposit Insurance Corporation or any other governmental agency.</w:t>
      </w:r>
    </w:p>
    <w:p w14:paraId="11CEEBAB" w14:textId="77777777" w:rsidR="009E5696" w:rsidRDefault="009E5696">
      <w:pPr>
        <w:pStyle w:val="GSPara"/>
        <w:spacing w:after="0"/>
      </w:pPr>
    </w:p>
    <w:p w14:paraId="4A33B7FE" w14:textId="77777777" w:rsidR="009E5696" w:rsidRDefault="00273474">
      <w:pPr>
        <w:keepNext/>
        <w:keepLines/>
        <w:jc w:val="center"/>
      </w:pPr>
      <w:r>
        <w:rPr>
          <w:b/>
        </w:rPr>
        <w:t>BofA Securities</w:t>
      </w:r>
    </w:p>
    <w:p w14:paraId="3D265FF1" w14:textId="77777777" w:rsidR="009E5696" w:rsidRDefault="00273474">
      <w:pPr>
        <w:keepNext/>
        <w:keepLines/>
        <w:jc w:val="center"/>
      </w:pPr>
      <w:r>
        <w:t>Selling Agent</w:t>
      </w:r>
    </w:p>
    <w:p w14:paraId="043B8422" w14:textId="77777777" w:rsidR="009E5696" w:rsidRDefault="00273474">
      <w:pPr>
        <w:pageBreakBefore/>
      </w:pPr>
      <w:r>
        <w:lastRenderedPageBreak/>
        <w:t>The price to public and net proceeds listed above relate to the notes we sell initially. We may decide to sell additional notes after the date of this pricing supplement, at prices to public and with underwriting discounts and net proceeds that differ from the amounts set forth above. The return (whether positive or negative) on your investment in notes will depend in part on the price to public you pay for such notes.</w:t>
      </w:r>
    </w:p>
    <w:p w14:paraId="7A48CF2F" w14:textId="77777777" w:rsidR="009E5696" w:rsidRDefault="009E5696"/>
    <w:p w14:paraId="56413F2D" w14:textId="77777777" w:rsidR="009E5696" w:rsidRDefault="00273474">
      <w:r>
        <w:t xml:space="preserve">BofAS and any of our other broker-dealer affiliates may use this pricing supplement in the initial sale of the notes. In addition, BofAS and any of our other broker-dealer affiliates may use this pricing supplement in a market-making transaction in a note after its initial sale. </w:t>
      </w:r>
      <w:r>
        <w:rPr>
          <w:b/>
          <w:i/>
        </w:rPr>
        <w:t>Unless BofAS or any of our other broker-dealer affiliates informs the purchaser otherwise in the confirmation of sale, this pricing supplement is being used in a market-making transaction.</w:t>
      </w:r>
    </w:p>
    <w:p w14:paraId="202179FD" w14:textId="77777777" w:rsidR="009E5696" w:rsidRDefault="009E5696"/>
    <w:p w14:paraId="3F51B42E" w14:textId="77777777" w:rsidR="009E5696" w:rsidRDefault="009E5696"/>
    <w:tbl>
      <w:tblPr>
        <w:tblW w:w="0" w:type="auto"/>
        <w:tblLook w:val="04A0" w:firstRow="1" w:lastRow="0" w:firstColumn="1" w:lastColumn="0" w:noHBand="0" w:noVBand="1"/>
      </w:tblPr>
      <w:tblGrid>
        <w:gridCol w:w="10025"/>
      </w:tblGrid>
      <w:tr w:rsidR="009E5696" w14:paraId="7BF73FC7" w14:textId="77777777">
        <w:tc>
          <w:tcPr>
            <w:tcW w:w="11327" w:type="dxa"/>
            <w:tcBorders>
              <w:top w:val="single" w:sz="8" w:space="4" w:color="auto"/>
              <w:left w:val="single" w:sz="8" w:space="4" w:color="auto"/>
              <w:bottom w:val="single" w:sz="8" w:space="4" w:color="auto"/>
              <w:right w:val="single" w:sz="8" w:space="4" w:color="auto"/>
            </w:tcBorders>
          </w:tcPr>
          <w:p w14:paraId="3C7A1750" w14:textId="77777777" w:rsidR="009E5696" w:rsidRDefault="00273474">
            <w:pPr>
              <w:jc w:val="center"/>
            </w:pPr>
            <w:r>
              <w:rPr>
                <w:b/>
              </w:rPr>
              <w:t>About Your Prospectus</w:t>
            </w:r>
          </w:p>
          <w:p w14:paraId="32DD204B" w14:textId="77777777" w:rsidR="009E5696" w:rsidRDefault="009E5696">
            <w:pPr>
              <w:jc w:val="center"/>
            </w:pPr>
          </w:p>
          <w:p w14:paraId="682CBAFB" w14:textId="77777777" w:rsidR="009E5696" w:rsidRDefault="00273474">
            <w:r>
              <w:t>The notes are unsecured senior notes issued by BofA Finance, a consolidated finance subsidiary of BAC. Payments on the notes are fully and unconditionally guaranteed by the Guarantor. This prospectus includes this pricing supplement and the accompanying documents listed below. This pricing supplement constitutes a supplement to the documents listed below and should be read in conjunction with those documents:</w:t>
            </w:r>
          </w:p>
          <w:p w14:paraId="170E11F1" w14:textId="77777777" w:rsidR="009E5696" w:rsidRDefault="009E5696"/>
          <w:p w14:paraId="11D30D77" w14:textId="77777777" w:rsidR="009E5696" w:rsidRDefault="00273474">
            <w:r>
              <w:t xml:space="preserve">Product supplement EQUITY-1 dated December 8, 2025: </w:t>
            </w:r>
          </w:p>
          <w:p w14:paraId="68B84992" w14:textId="77777777" w:rsidR="009E5696" w:rsidRDefault="009E5696"/>
          <w:p w14:paraId="00EB60DA" w14:textId="459C9656" w:rsidR="009E5696" w:rsidRDefault="00273474">
            <w:hyperlink r:id="rId9">
              <w:r>
                <w:rPr>
                  <w:rStyle w:val="Hyperlink"/>
                </w:rPr>
                <w:t>https://www.sec.gov/Archives/edgar/data/70858/000119312525311320/d49145d424b2.htm</w:t>
              </w:r>
            </w:hyperlink>
          </w:p>
          <w:p w14:paraId="60EF3381" w14:textId="77777777" w:rsidR="009E5696" w:rsidRDefault="00273474">
            <w:r>
              <w:t xml:space="preserve">Series A MTN prospectus supplement dated December 8, 2025 and prospectus dated December 8, 2025: </w:t>
            </w:r>
          </w:p>
          <w:p w14:paraId="5397D16D" w14:textId="77777777" w:rsidR="009E5696" w:rsidRDefault="009E5696"/>
          <w:p w14:paraId="024A27AE" w14:textId="6F6CE5B9" w:rsidR="009E5696" w:rsidRDefault="00273474">
            <w:hyperlink r:id="rId10">
              <w:r>
                <w:rPr>
                  <w:rStyle w:val="Hyperlink"/>
                </w:rPr>
                <w:t>https://www.sec.gov/Archives/edgar/data/70858/000119312525310920/d51586d424b3.htm</w:t>
              </w:r>
            </w:hyperlink>
          </w:p>
          <w:p w14:paraId="71E0F2F5" w14:textId="77777777" w:rsidR="009E5696" w:rsidRDefault="009E5696"/>
          <w:p w14:paraId="5DD59C69" w14:textId="77777777" w:rsidR="009E5696" w:rsidRDefault="00273474">
            <w:r>
              <w:t>The information in this pricing supplement supersedes any conflicting information in the documents listed above. In addition, some of the terms or features described in the listed documents may not apply to your notes.</w:t>
            </w:r>
          </w:p>
          <w:p w14:paraId="66DE5F34" w14:textId="77777777" w:rsidR="009E5696" w:rsidRDefault="009E5696"/>
        </w:tc>
      </w:tr>
    </w:tbl>
    <w:p w14:paraId="5756B917" w14:textId="77777777" w:rsidR="009E5696" w:rsidRDefault="00273474">
      <w:pPr>
        <w:spacing w:line="200" w:lineRule="atLeast"/>
      </w:pPr>
      <w:r>
        <w:br w:type="page"/>
      </w:r>
    </w:p>
    <w:p w14:paraId="350794AD" w14:textId="77777777" w:rsidR="009E5696" w:rsidRDefault="00273474">
      <w:pPr>
        <w:pStyle w:val="GSBody"/>
        <w:spacing w:after="150"/>
        <w:jc w:val="center"/>
      </w:pPr>
      <w:bookmarkStart w:id="7" w:name="gsSummary"/>
      <w:r>
        <w:rPr>
          <w:b/>
        </w:rPr>
        <w:lastRenderedPageBreak/>
        <w:t>SUMMARY INFORMATION</w:t>
      </w:r>
      <w:bookmarkEnd w:id="7"/>
    </w:p>
    <w:tbl>
      <w:tblPr>
        <w:tblW w:w="0" w:type="auto"/>
        <w:tblLook w:val="04A0" w:firstRow="1" w:lastRow="0" w:firstColumn="1" w:lastColumn="0" w:noHBand="0" w:noVBand="1"/>
      </w:tblPr>
      <w:tblGrid>
        <w:gridCol w:w="10025"/>
      </w:tblGrid>
      <w:tr w:rsidR="009E5696" w14:paraId="69F9465E" w14:textId="77777777">
        <w:tc>
          <w:tcPr>
            <w:tcW w:w="10222" w:type="dxa"/>
            <w:tcBorders>
              <w:top w:val="single" w:sz="8" w:space="4" w:color="auto"/>
              <w:left w:val="single" w:sz="8" w:space="4" w:color="auto"/>
              <w:bottom w:val="single" w:sz="8" w:space="4" w:color="auto"/>
              <w:right w:val="single" w:sz="8" w:space="4" w:color="auto"/>
            </w:tcBorders>
          </w:tcPr>
          <w:p w14:paraId="7EDF8B35" w14:textId="77777777" w:rsidR="009E5696" w:rsidRDefault="00273474">
            <w:pPr>
              <w:spacing w:line="200" w:lineRule="atLeast"/>
            </w:pPr>
            <w:r>
              <w:rPr>
                <w:i/>
              </w:rPr>
              <w:t>We refer to the notes we are offering by this pricing supplement as the “offered notes” or the “notes”. Each of the offered notes has the terms described below. Capitalized terms used but not defined in this pricing supplement have the meanings set forth in the accompanying product supplement, prospectus supplement and prospectus. Unless otherwise indicated or unless the context requires otherwise, all references in this pricing supplement to “we,” “us,” “our,” or similar references are to BofA Finance, and not to BAC (or any other affiliate of BofA Finance).</w:t>
            </w:r>
          </w:p>
          <w:p w14:paraId="60EC72B4" w14:textId="77777777" w:rsidR="009E5696" w:rsidRDefault="00273474">
            <w:pPr>
              <w:spacing w:line="200" w:lineRule="atLeast"/>
            </w:pPr>
            <w:r>
              <w:rPr>
                <w:i/>
              </w:rPr>
              <w:t>This section is meant as a summary and should be read in conjunction with the accompanying product supplement, prospectus supplement and prospectus. This pricing supplement supersedes any conflicting provisions of the documents listed above.</w:t>
            </w:r>
          </w:p>
        </w:tc>
      </w:tr>
    </w:tbl>
    <w:p w14:paraId="1B0D8255" w14:textId="77777777" w:rsidR="009E5696" w:rsidRDefault="00273474">
      <w:pPr>
        <w:pStyle w:val="GSBody"/>
        <w:spacing w:before="200" w:after="200"/>
        <w:jc w:val="center"/>
      </w:pPr>
      <w:r>
        <w:rPr>
          <w:b/>
        </w:rPr>
        <w:t>Key Terms</w:t>
      </w:r>
    </w:p>
    <w:tbl>
      <w:tblPr>
        <w:tblW w:w="0" w:type="auto"/>
        <w:tblLook w:val="04A0" w:firstRow="1" w:lastRow="0" w:firstColumn="1" w:lastColumn="0" w:noHBand="0" w:noVBand="1"/>
      </w:tblPr>
      <w:tblGrid>
        <w:gridCol w:w="2365"/>
        <w:gridCol w:w="7760"/>
      </w:tblGrid>
      <w:tr w:rsidR="009E5696" w14:paraId="61F8AC08" w14:textId="77777777">
        <w:tc>
          <w:tcPr>
            <w:tcW w:w="2517" w:type="dxa"/>
            <w:tcBorders>
              <w:top w:val="nil"/>
              <w:left w:val="nil"/>
              <w:bottom w:val="nil"/>
              <w:right w:val="nil"/>
            </w:tcBorders>
          </w:tcPr>
          <w:p w14:paraId="704DA5DB" w14:textId="77777777" w:rsidR="009E5696" w:rsidRDefault="00273474">
            <w:pPr>
              <w:spacing w:after="200"/>
            </w:pPr>
            <w:r>
              <w:rPr>
                <w:b/>
              </w:rPr>
              <w:t>Issuer:</w:t>
            </w:r>
          </w:p>
        </w:tc>
        <w:tc>
          <w:tcPr>
            <w:tcW w:w="8810" w:type="dxa"/>
            <w:tcBorders>
              <w:top w:val="nil"/>
              <w:left w:val="nil"/>
              <w:bottom w:val="nil"/>
              <w:right w:val="nil"/>
            </w:tcBorders>
          </w:tcPr>
          <w:p w14:paraId="6DE0BE7D" w14:textId="77777777" w:rsidR="009E5696" w:rsidRDefault="00273474">
            <w:pPr>
              <w:spacing w:after="200"/>
            </w:pPr>
            <w:r>
              <w:t>BofA Finance LLC (“BofA Finance”)</w:t>
            </w:r>
          </w:p>
        </w:tc>
      </w:tr>
      <w:tr w:rsidR="009E5696" w14:paraId="401EDB29" w14:textId="77777777">
        <w:tc>
          <w:tcPr>
            <w:tcW w:w="2517" w:type="dxa"/>
            <w:tcBorders>
              <w:top w:val="nil"/>
              <w:left w:val="nil"/>
              <w:bottom w:val="nil"/>
              <w:right w:val="nil"/>
            </w:tcBorders>
          </w:tcPr>
          <w:p w14:paraId="1BEC9B08" w14:textId="77777777" w:rsidR="009E5696" w:rsidRDefault="00273474">
            <w:pPr>
              <w:spacing w:after="200"/>
            </w:pPr>
            <w:r>
              <w:rPr>
                <w:b/>
              </w:rPr>
              <w:t>Guarantor:</w:t>
            </w:r>
          </w:p>
        </w:tc>
        <w:tc>
          <w:tcPr>
            <w:tcW w:w="8810" w:type="dxa"/>
            <w:tcBorders>
              <w:top w:val="nil"/>
              <w:left w:val="nil"/>
              <w:bottom w:val="nil"/>
              <w:right w:val="nil"/>
            </w:tcBorders>
          </w:tcPr>
          <w:p w14:paraId="5F043980" w14:textId="77777777" w:rsidR="009E5696" w:rsidRDefault="00273474">
            <w:pPr>
              <w:spacing w:after="200"/>
            </w:pPr>
            <w:r>
              <w:t>Bank of America Corporation (“BAC”)</w:t>
            </w:r>
          </w:p>
        </w:tc>
      </w:tr>
      <w:tr w:rsidR="009E5696" w14:paraId="5E0C9713" w14:textId="77777777">
        <w:tc>
          <w:tcPr>
            <w:tcW w:w="2517" w:type="dxa"/>
            <w:tcBorders>
              <w:top w:val="nil"/>
              <w:left w:val="nil"/>
              <w:bottom w:val="nil"/>
              <w:right w:val="nil"/>
            </w:tcBorders>
          </w:tcPr>
          <w:p w14:paraId="7ACA90CD" w14:textId="77777777" w:rsidR="009E5696" w:rsidRDefault="00273474">
            <w:pPr>
              <w:spacing w:after="200"/>
            </w:pPr>
            <w:r>
              <w:rPr>
                <w:b/>
              </w:rPr>
              <w:t>Underlier:</w:t>
            </w:r>
          </w:p>
        </w:tc>
        <w:tc>
          <w:tcPr>
            <w:tcW w:w="8810" w:type="dxa"/>
            <w:tcBorders>
              <w:top w:val="nil"/>
              <w:left w:val="nil"/>
              <w:bottom w:val="nil"/>
              <w:right w:val="nil"/>
            </w:tcBorders>
          </w:tcPr>
          <w:p w14:paraId="482211AB" w14:textId="77777777" w:rsidR="009E5696" w:rsidRDefault="00273474">
            <w:pPr>
              <w:spacing w:after="200"/>
            </w:pPr>
            <w:r>
              <w:t>The MSCI EAFE</w:t>
            </w:r>
            <w:r>
              <w:rPr>
                <w:vertAlign w:val="superscript"/>
              </w:rPr>
              <w:t>®</w:t>
            </w:r>
            <w:r>
              <w:t xml:space="preserve"> Index (Bloomberg symbol, “MXEA Index”), as published by MSCI Inc. (“MSCI” or the “Underlier Sponsor”)</w:t>
            </w:r>
          </w:p>
        </w:tc>
      </w:tr>
      <w:tr w:rsidR="009E5696" w14:paraId="786C436A" w14:textId="77777777">
        <w:tc>
          <w:tcPr>
            <w:tcW w:w="2517" w:type="dxa"/>
            <w:tcBorders>
              <w:top w:val="nil"/>
              <w:left w:val="nil"/>
              <w:bottom w:val="nil"/>
              <w:right w:val="nil"/>
            </w:tcBorders>
          </w:tcPr>
          <w:p w14:paraId="240C9875" w14:textId="77777777" w:rsidR="009E5696" w:rsidRDefault="00273474">
            <w:pPr>
              <w:spacing w:after="200"/>
            </w:pPr>
            <w:r>
              <w:rPr>
                <w:b/>
              </w:rPr>
              <w:t>Specified Currency:</w:t>
            </w:r>
          </w:p>
        </w:tc>
        <w:tc>
          <w:tcPr>
            <w:tcW w:w="8810" w:type="dxa"/>
            <w:tcBorders>
              <w:top w:val="nil"/>
              <w:left w:val="nil"/>
              <w:bottom w:val="nil"/>
              <w:right w:val="nil"/>
            </w:tcBorders>
          </w:tcPr>
          <w:p w14:paraId="12419134" w14:textId="77777777" w:rsidR="009E5696" w:rsidRDefault="00273474">
            <w:pPr>
              <w:spacing w:after="200"/>
            </w:pPr>
            <w:r>
              <w:t>U.S. dollars (“$”)</w:t>
            </w:r>
          </w:p>
        </w:tc>
      </w:tr>
      <w:tr w:rsidR="009E5696" w14:paraId="7B58F577" w14:textId="77777777">
        <w:tc>
          <w:tcPr>
            <w:tcW w:w="2517" w:type="dxa"/>
            <w:tcBorders>
              <w:top w:val="nil"/>
              <w:left w:val="nil"/>
              <w:bottom w:val="nil"/>
              <w:right w:val="nil"/>
            </w:tcBorders>
          </w:tcPr>
          <w:p w14:paraId="6C633D4E" w14:textId="77777777" w:rsidR="009E5696" w:rsidRDefault="00273474">
            <w:pPr>
              <w:spacing w:after="200"/>
            </w:pPr>
            <w:r>
              <w:rPr>
                <w:b/>
              </w:rPr>
              <w:t>Face Amount:</w:t>
            </w:r>
          </w:p>
        </w:tc>
        <w:tc>
          <w:tcPr>
            <w:tcW w:w="8810" w:type="dxa"/>
            <w:tcBorders>
              <w:top w:val="nil"/>
              <w:left w:val="nil"/>
              <w:bottom w:val="nil"/>
              <w:right w:val="nil"/>
            </w:tcBorders>
          </w:tcPr>
          <w:p w14:paraId="3633C6A8" w14:textId="77777777" w:rsidR="009E5696" w:rsidRDefault="00273474">
            <w:pPr>
              <w:spacing w:after="200"/>
            </w:pPr>
            <w:r>
              <w:t>Each note will have a face amount of $1,000; $937,000 in the aggregate for all the offered notes; the aggregate face amount of the offered notes may be increased if we, at our sole option, decide to sell an additional amount of the offered notes on a date subsequent to the date of this pricing supplement.</w:t>
            </w:r>
          </w:p>
        </w:tc>
      </w:tr>
      <w:tr w:rsidR="009E5696" w14:paraId="206D7D52" w14:textId="77777777">
        <w:tc>
          <w:tcPr>
            <w:tcW w:w="2517" w:type="dxa"/>
            <w:tcBorders>
              <w:top w:val="nil"/>
              <w:left w:val="nil"/>
              <w:bottom w:val="nil"/>
              <w:right w:val="nil"/>
            </w:tcBorders>
          </w:tcPr>
          <w:p w14:paraId="1ECDDFA7" w14:textId="77777777" w:rsidR="009E5696" w:rsidRDefault="00273474">
            <w:pPr>
              <w:spacing w:after="200"/>
            </w:pPr>
            <w:r>
              <w:rPr>
                <w:b/>
              </w:rPr>
              <w:t>Purchase at Amount Other Than the Face Amount:</w:t>
            </w:r>
          </w:p>
        </w:tc>
        <w:tc>
          <w:tcPr>
            <w:tcW w:w="8810" w:type="dxa"/>
            <w:tcBorders>
              <w:top w:val="nil"/>
              <w:left w:val="nil"/>
              <w:bottom w:val="nil"/>
              <w:right w:val="nil"/>
            </w:tcBorders>
          </w:tcPr>
          <w:p w14:paraId="5B09C23D" w14:textId="4175A9E3" w:rsidR="009E5696" w:rsidRDefault="00273474">
            <w:pPr>
              <w:spacing w:after="200"/>
            </w:pPr>
            <w:r>
              <w:t>The amount we will pay you at the stated maturity date for your notes will not be adjusted based on the price to public you pay for your notes, so if you acquire notes at a premium (or discount) to face amount and hold them to the stated maturity date, it could affect your investment in a number of ways. The return on your investment in such notes will be lower (or higher) than it would have been had you purchased the notes at face amount. Also, the stated Threshold Level would not offer the same measure of protection to your investment as would be the case if you had purchased the notes at face amount. Additionally, the Threshold Settlement Amount would be triggered at a lower (or higher) percentage return than indicated below, relative to your initial investment. See “Risk Factors — If You Purchase Your Notes at a Premium to Face Amount, the Return on Your Investment Will Be Lower Than the Return on Notes Purchased at Face Amount and the Impact of Certain Key Terms of the Notes Will Be Negatively Affected” on page PS-</w:t>
            </w:r>
            <w:r>
              <w:fldChar w:fldCharType="begin"/>
            </w:r>
            <w:r>
              <w:instrText xml:space="preserve"> PAGEREF gsPurchaseAtPremiumRiskLink \h </w:instrText>
            </w:r>
            <w:r>
              <w:fldChar w:fldCharType="separate"/>
            </w:r>
            <w:r w:rsidR="00C52DF6">
              <w:rPr>
                <w:noProof/>
              </w:rPr>
              <w:t>13</w:t>
            </w:r>
            <w:r>
              <w:fldChar w:fldCharType="end"/>
            </w:r>
            <w:r>
              <w:t xml:space="preserve"> of this pricing supplement.</w:t>
            </w:r>
          </w:p>
        </w:tc>
      </w:tr>
      <w:tr w:rsidR="009E5696" w14:paraId="503AD1FF" w14:textId="77777777">
        <w:tc>
          <w:tcPr>
            <w:tcW w:w="2517" w:type="dxa"/>
            <w:tcBorders>
              <w:top w:val="nil"/>
              <w:left w:val="nil"/>
              <w:bottom w:val="nil"/>
              <w:right w:val="nil"/>
            </w:tcBorders>
          </w:tcPr>
          <w:p w14:paraId="236D807E" w14:textId="77777777" w:rsidR="009E5696" w:rsidRDefault="00273474">
            <w:pPr>
              <w:spacing w:after="200"/>
            </w:pPr>
            <w:r>
              <w:rPr>
                <w:b/>
              </w:rPr>
              <w:t>Cash Settlement Amount:</w:t>
            </w:r>
          </w:p>
        </w:tc>
        <w:tc>
          <w:tcPr>
            <w:tcW w:w="8810" w:type="dxa"/>
            <w:tcBorders>
              <w:top w:val="nil"/>
              <w:left w:val="nil"/>
              <w:bottom w:val="nil"/>
              <w:right w:val="nil"/>
            </w:tcBorders>
          </w:tcPr>
          <w:p w14:paraId="3AE7231D" w14:textId="77777777" w:rsidR="009E5696" w:rsidRDefault="00273474">
            <w:pPr>
              <w:spacing w:after="200"/>
            </w:pPr>
            <w:r>
              <w:t>For each $1,000 face amount of your notes, we will pay you on the stated maturity date an amount in cash equal to:</w:t>
            </w:r>
          </w:p>
        </w:tc>
      </w:tr>
      <w:tr w:rsidR="009E5696" w14:paraId="1C4EDAE5" w14:textId="77777777">
        <w:tc>
          <w:tcPr>
            <w:tcW w:w="2517" w:type="dxa"/>
            <w:tcBorders>
              <w:top w:val="nil"/>
              <w:left w:val="nil"/>
              <w:bottom w:val="nil"/>
              <w:right w:val="nil"/>
            </w:tcBorders>
          </w:tcPr>
          <w:p w14:paraId="7B9701E5" w14:textId="77777777" w:rsidR="009E5696" w:rsidRDefault="009E5696">
            <w:pPr>
              <w:spacing w:after="200"/>
            </w:pPr>
          </w:p>
        </w:tc>
        <w:tc>
          <w:tcPr>
            <w:tcW w:w="8810" w:type="dxa"/>
            <w:tcBorders>
              <w:top w:val="nil"/>
              <w:left w:val="nil"/>
              <w:bottom w:val="nil"/>
              <w:right w:val="nil"/>
            </w:tcBorders>
          </w:tcPr>
          <w:p w14:paraId="6B309B5C" w14:textId="77777777" w:rsidR="009E5696" w:rsidRDefault="00273474">
            <w:pPr>
              <w:pStyle w:val="GSBulletList"/>
              <w:spacing w:after="200"/>
            </w:pPr>
            <w:r>
              <w:t xml:space="preserve">if the Final Underlier Level is </w:t>
            </w:r>
            <w:r>
              <w:rPr>
                <w:i/>
              </w:rPr>
              <w:t xml:space="preserve">greater than </w:t>
            </w:r>
            <w:r>
              <w:t xml:space="preserve">or </w:t>
            </w:r>
            <w:r>
              <w:rPr>
                <w:i/>
              </w:rPr>
              <w:t xml:space="preserve">equal to </w:t>
            </w:r>
            <w:r>
              <w:t>the Threshold Level, the Threshold Settlement Amount; or</w:t>
            </w:r>
          </w:p>
          <w:p w14:paraId="42C50B49" w14:textId="77777777" w:rsidR="009E5696" w:rsidRDefault="00273474">
            <w:pPr>
              <w:pStyle w:val="GSBulletList"/>
              <w:spacing w:after="200"/>
            </w:pPr>
            <w:r>
              <w:t>if the Final Underlier Level is less than the Threshold Level, the sum of (1) $1,000 plus (2) the product of (i) $1,000 times (ii) the Buffer Rate times (iii) the sum of the Underlier Return plus the Threshold Amount. In this case, the cash settlement amount will be less than the face amount of the notes, and you will lose some or all of the face amount.</w:t>
            </w:r>
          </w:p>
        </w:tc>
      </w:tr>
      <w:tr w:rsidR="009E5696" w14:paraId="3B9C59D8" w14:textId="77777777">
        <w:tc>
          <w:tcPr>
            <w:tcW w:w="2517" w:type="dxa"/>
            <w:tcBorders>
              <w:top w:val="nil"/>
              <w:left w:val="nil"/>
              <w:bottom w:val="nil"/>
              <w:right w:val="nil"/>
            </w:tcBorders>
          </w:tcPr>
          <w:p w14:paraId="183041D6" w14:textId="77777777" w:rsidR="009E5696" w:rsidRDefault="00273474">
            <w:pPr>
              <w:spacing w:after="200"/>
            </w:pPr>
            <w:r>
              <w:rPr>
                <w:b/>
              </w:rPr>
              <w:t>Initial Underlier Level:</w:t>
            </w:r>
          </w:p>
        </w:tc>
        <w:tc>
          <w:tcPr>
            <w:tcW w:w="8810" w:type="dxa"/>
            <w:tcBorders>
              <w:top w:val="nil"/>
              <w:left w:val="nil"/>
              <w:bottom w:val="nil"/>
              <w:right w:val="nil"/>
            </w:tcBorders>
          </w:tcPr>
          <w:p w14:paraId="0E5A5C87" w14:textId="77777777" w:rsidR="009E5696" w:rsidRDefault="00273474">
            <w:pPr>
              <w:spacing w:after="200"/>
            </w:pPr>
            <w:r>
              <w:t>2,851.84</w:t>
            </w:r>
          </w:p>
        </w:tc>
      </w:tr>
      <w:tr w:rsidR="009E5696" w14:paraId="60E3165F" w14:textId="77777777">
        <w:tc>
          <w:tcPr>
            <w:tcW w:w="2517" w:type="dxa"/>
            <w:tcBorders>
              <w:top w:val="nil"/>
              <w:left w:val="nil"/>
              <w:bottom w:val="nil"/>
              <w:right w:val="nil"/>
            </w:tcBorders>
          </w:tcPr>
          <w:p w14:paraId="782F9326" w14:textId="77777777" w:rsidR="009E5696" w:rsidRDefault="00273474">
            <w:pPr>
              <w:spacing w:after="200"/>
            </w:pPr>
            <w:r>
              <w:rPr>
                <w:b/>
              </w:rPr>
              <w:t>Final Underlier Level:</w:t>
            </w:r>
          </w:p>
        </w:tc>
        <w:tc>
          <w:tcPr>
            <w:tcW w:w="8810" w:type="dxa"/>
            <w:tcBorders>
              <w:top w:val="nil"/>
              <w:left w:val="nil"/>
              <w:bottom w:val="nil"/>
              <w:right w:val="nil"/>
            </w:tcBorders>
          </w:tcPr>
          <w:p w14:paraId="542D1748" w14:textId="77777777" w:rsidR="009E5696" w:rsidRDefault="00273474">
            <w:pPr>
              <w:spacing w:after="200"/>
            </w:pPr>
            <w:r>
              <w:t>The closing level of the Underlier on the Determination Date, except in the limited circumstances described under “—Events Relating to the Determination Date” below and “Description of the Notes—Adjustments to an Index” and “—Discontinuance of an Index” in the accompanying product supplement.</w:t>
            </w:r>
          </w:p>
        </w:tc>
      </w:tr>
      <w:tr w:rsidR="009E5696" w14:paraId="37022DD9" w14:textId="77777777">
        <w:tc>
          <w:tcPr>
            <w:tcW w:w="2517" w:type="dxa"/>
            <w:tcBorders>
              <w:top w:val="nil"/>
              <w:left w:val="nil"/>
              <w:bottom w:val="nil"/>
              <w:right w:val="nil"/>
            </w:tcBorders>
          </w:tcPr>
          <w:p w14:paraId="02DE25F7" w14:textId="77777777" w:rsidR="009E5696" w:rsidRDefault="00273474">
            <w:pPr>
              <w:spacing w:after="200"/>
            </w:pPr>
            <w:r>
              <w:rPr>
                <w:b/>
              </w:rPr>
              <w:lastRenderedPageBreak/>
              <w:t>Threshold Level:</w:t>
            </w:r>
          </w:p>
        </w:tc>
        <w:tc>
          <w:tcPr>
            <w:tcW w:w="8810" w:type="dxa"/>
            <w:tcBorders>
              <w:top w:val="nil"/>
              <w:left w:val="nil"/>
              <w:bottom w:val="nil"/>
              <w:right w:val="nil"/>
            </w:tcBorders>
          </w:tcPr>
          <w:p w14:paraId="1F6313FA" w14:textId="77777777" w:rsidR="009E5696" w:rsidRDefault="00273474">
            <w:pPr>
              <w:spacing w:after="200"/>
            </w:pPr>
            <w:r>
              <w:t>90.00% of the Initial Underlier Level</w:t>
            </w:r>
          </w:p>
        </w:tc>
      </w:tr>
      <w:tr w:rsidR="009E5696" w14:paraId="7F634BC5" w14:textId="77777777">
        <w:tc>
          <w:tcPr>
            <w:tcW w:w="2517" w:type="dxa"/>
            <w:tcBorders>
              <w:top w:val="nil"/>
              <w:left w:val="nil"/>
              <w:bottom w:val="nil"/>
              <w:right w:val="nil"/>
            </w:tcBorders>
          </w:tcPr>
          <w:p w14:paraId="69A5A802" w14:textId="77777777" w:rsidR="009E5696" w:rsidRDefault="00273474">
            <w:pPr>
              <w:spacing w:after="200"/>
            </w:pPr>
            <w:r>
              <w:rPr>
                <w:b/>
              </w:rPr>
              <w:t>Threshold Settlement Amount:</w:t>
            </w:r>
          </w:p>
        </w:tc>
        <w:tc>
          <w:tcPr>
            <w:tcW w:w="8810" w:type="dxa"/>
            <w:tcBorders>
              <w:top w:val="nil"/>
              <w:left w:val="nil"/>
              <w:bottom w:val="nil"/>
              <w:right w:val="nil"/>
            </w:tcBorders>
          </w:tcPr>
          <w:p w14:paraId="132B4E30" w14:textId="77777777" w:rsidR="009E5696" w:rsidRDefault="00273474">
            <w:pPr>
              <w:spacing w:after="200"/>
            </w:pPr>
            <w:r>
              <w:t>$1,111.60 per $1,000 face amount of the notes</w:t>
            </w:r>
          </w:p>
        </w:tc>
      </w:tr>
      <w:tr w:rsidR="009E5696" w14:paraId="46178FAA" w14:textId="77777777">
        <w:tc>
          <w:tcPr>
            <w:tcW w:w="2517" w:type="dxa"/>
            <w:tcBorders>
              <w:top w:val="nil"/>
              <w:left w:val="nil"/>
              <w:bottom w:val="nil"/>
              <w:right w:val="nil"/>
            </w:tcBorders>
          </w:tcPr>
          <w:p w14:paraId="1F5EB795" w14:textId="77777777" w:rsidR="009E5696" w:rsidRDefault="00273474">
            <w:pPr>
              <w:spacing w:after="200"/>
            </w:pPr>
            <w:r>
              <w:rPr>
                <w:b/>
              </w:rPr>
              <w:t>Threshold Amount:</w:t>
            </w:r>
          </w:p>
        </w:tc>
        <w:tc>
          <w:tcPr>
            <w:tcW w:w="8810" w:type="dxa"/>
            <w:tcBorders>
              <w:top w:val="nil"/>
              <w:left w:val="nil"/>
              <w:bottom w:val="nil"/>
              <w:right w:val="nil"/>
            </w:tcBorders>
          </w:tcPr>
          <w:p w14:paraId="0FB5A214" w14:textId="77777777" w:rsidR="009E5696" w:rsidRDefault="00273474">
            <w:pPr>
              <w:spacing w:after="200"/>
            </w:pPr>
            <w:r>
              <w:t>10.00%</w:t>
            </w:r>
          </w:p>
        </w:tc>
      </w:tr>
      <w:tr w:rsidR="009E5696" w14:paraId="03D1A339" w14:textId="77777777">
        <w:tc>
          <w:tcPr>
            <w:tcW w:w="2517" w:type="dxa"/>
            <w:tcBorders>
              <w:top w:val="nil"/>
              <w:left w:val="nil"/>
              <w:bottom w:val="nil"/>
              <w:right w:val="nil"/>
            </w:tcBorders>
          </w:tcPr>
          <w:p w14:paraId="10EF41A8" w14:textId="77777777" w:rsidR="009E5696" w:rsidRDefault="00273474">
            <w:pPr>
              <w:spacing w:after="200"/>
            </w:pPr>
            <w:r>
              <w:rPr>
                <w:b/>
              </w:rPr>
              <w:t>Underlier Return:</w:t>
            </w:r>
          </w:p>
        </w:tc>
        <w:tc>
          <w:tcPr>
            <w:tcW w:w="8810" w:type="dxa"/>
            <w:tcBorders>
              <w:top w:val="nil"/>
              <w:left w:val="nil"/>
              <w:bottom w:val="nil"/>
              <w:right w:val="nil"/>
            </w:tcBorders>
          </w:tcPr>
          <w:p w14:paraId="45B675CA" w14:textId="77777777" w:rsidR="009E5696" w:rsidRDefault="00273474">
            <w:pPr>
              <w:spacing w:after="200"/>
            </w:pPr>
            <w:r>
              <w:t>The quotient of (1) the Final Underlier Level minus the Initial Underlier Level divided by (2) the Initial Underlier Level, expressed as a percentage</w:t>
            </w:r>
          </w:p>
        </w:tc>
      </w:tr>
      <w:tr w:rsidR="009E5696" w14:paraId="6D596CD2" w14:textId="77777777">
        <w:tc>
          <w:tcPr>
            <w:tcW w:w="2517" w:type="dxa"/>
            <w:tcBorders>
              <w:top w:val="nil"/>
              <w:left w:val="nil"/>
              <w:bottom w:val="nil"/>
              <w:right w:val="nil"/>
            </w:tcBorders>
          </w:tcPr>
          <w:p w14:paraId="1C6F7735" w14:textId="77777777" w:rsidR="009E5696" w:rsidRDefault="00273474">
            <w:pPr>
              <w:spacing w:after="200"/>
            </w:pPr>
            <w:r>
              <w:rPr>
                <w:b/>
              </w:rPr>
              <w:t>Buffer Rate:</w:t>
            </w:r>
          </w:p>
        </w:tc>
        <w:tc>
          <w:tcPr>
            <w:tcW w:w="8810" w:type="dxa"/>
            <w:tcBorders>
              <w:top w:val="nil"/>
              <w:left w:val="nil"/>
              <w:bottom w:val="nil"/>
              <w:right w:val="nil"/>
            </w:tcBorders>
          </w:tcPr>
          <w:p w14:paraId="7B3CFA40" w14:textId="77777777" w:rsidR="009E5696" w:rsidRDefault="00273474">
            <w:pPr>
              <w:spacing w:after="200"/>
            </w:pPr>
            <w:r>
              <w:t xml:space="preserve">The </w:t>
            </w:r>
            <w:r>
              <w:rPr>
                <w:i/>
              </w:rPr>
              <w:t>quotient</w:t>
            </w:r>
            <w:r>
              <w:t xml:space="preserve"> of the Initial Underlier Level </w:t>
            </w:r>
            <w:r>
              <w:rPr>
                <w:i/>
              </w:rPr>
              <w:t>divided</w:t>
            </w:r>
            <w:r>
              <w:t xml:space="preserve"> by the Threshold Level, which equals approximately 111.111%</w:t>
            </w:r>
          </w:p>
        </w:tc>
      </w:tr>
      <w:tr w:rsidR="009E5696" w14:paraId="4257E3DC" w14:textId="77777777">
        <w:tc>
          <w:tcPr>
            <w:tcW w:w="2517" w:type="dxa"/>
            <w:tcBorders>
              <w:top w:val="nil"/>
              <w:left w:val="nil"/>
              <w:bottom w:val="nil"/>
              <w:right w:val="nil"/>
            </w:tcBorders>
          </w:tcPr>
          <w:p w14:paraId="1AB0B2FF" w14:textId="77777777" w:rsidR="009E5696" w:rsidRDefault="00273474">
            <w:pPr>
              <w:spacing w:after="200"/>
            </w:pPr>
            <w:r>
              <w:rPr>
                <w:b/>
              </w:rPr>
              <w:t>Trade Date:</w:t>
            </w:r>
          </w:p>
        </w:tc>
        <w:tc>
          <w:tcPr>
            <w:tcW w:w="8810" w:type="dxa"/>
            <w:tcBorders>
              <w:top w:val="nil"/>
              <w:left w:val="nil"/>
              <w:bottom w:val="nil"/>
              <w:right w:val="nil"/>
            </w:tcBorders>
          </w:tcPr>
          <w:p w14:paraId="07CF9A1C" w14:textId="77777777" w:rsidR="009E5696" w:rsidRDefault="00273474">
            <w:pPr>
              <w:spacing w:after="200"/>
            </w:pPr>
            <w:r>
              <w:t>March 24, 2026</w:t>
            </w:r>
          </w:p>
        </w:tc>
      </w:tr>
      <w:tr w:rsidR="009E5696" w14:paraId="61C732E4" w14:textId="77777777">
        <w:tc>
          <w:tcPr>
            <w:tcW w:w="2517" w:type="dxa"/>
            <w:tcBorders>
              <w:top w:val="nil"/>
              <w:left w:val="nil"/>
              <w:bottom w:val="nil"/>
              <w:right w:val="nil"/>
            </w:tcBorders>
          </w:tcPr>
          <w:p w14:paraId="40CD57E6" w14:textId="77777777" w:rsidR="009E5696" w:rsidRDefault="00273474">
            <w:pPr>
              <w:spacing w:after="200"/>
            </w:pPr>
            <w:r>
              <w:rPr>
                <w:b/>
              </w:rPr>
              <w:t>Original Issue Date (Settlement Date):</w:t>
            </w:r>
          </w:p>
        </w:tc>
        <w:tc>
          <w:tcPr>
            <w:tcW w:w="8810" w:type="dxa"/>
            <w:tcBorders>
              <w:top w:val="nil"/>
              <w:left w:val="nil"/>
              <w:bottom w:val="nil"/>
              <w:right w:val="nil"/>
            </w:tcBorders>
          </w:tcPr>
          <w:p w14:paraId="20B1D864" w14:textId="77777777" w:rsidR="009E5696" w:rsidRDefault="00273474">
            <w:pPr>
              <w:spacing w:after="200"/>
            </w:pPr>
            <w:r>
              <w:t>March 27, 2026</w:t>
            </w:r>
          </w:p>
        </w:tc>
      </w:tr>
      <w:tr w:rsidR="009E5696" w14:paraId="351250A2" w14:textId="77777777">
        <w:tc>
          <w:tcPr>
            <w:tcW w:w="2517" w:type="dxa"/>
            <w:tcBorders>
              <w:top w:val="nil"/>
              <w:left w:val="nil"/>
              <w:bottom w:val="nil"/>
              <w:right w:val="nil"/>
            </w:tcBorders>
          </w:tcPr>
          <w:p w14:paraId="31F8485E" w14:textId="77777777" w:rsidR="009E5696" w:rsidRDefault="00273474">
            <w:pPr>
              <w:spacing w:after="200"/>
            </w:pPr>
            <w:r>
              <w:rPr>
                <w:b/>
              </w:rPr>
              <w:t>Determination Date:</w:t>
            </w:r>
          </w:p>
        </w:tc>
        <w:tc>
          <w:tcPr>
            <w:tcW w:w="8810" w:type="dxa"/>
            <w:tcBorders>
              <w:top w:val="nil"/>
              <w:left w:val="nil"/>
              <w:bottom w:val="nil"/>
              <w:right w:val="nil"/>
            </w:tcBorders>
          </w:tcPr>
          <w:p w14:paraId="1CFD1B70" w14:textId="77777777" w:rsidR="009E5696" w:rsidRDefault="00273474">
            <w:pPr>
              <w:spacing w:after="200"/>
            </w:pPr>
            <w:r>
              <w:t>April 21, 2027</w:t>
            </w:r>
          </w:p>
        </w:tc>
      </w:tr>
      <w:tr w:rsidR="009E5696" w14:paraId="06A2623A" w14:textId="77777777">
        <w:tc>
          <w:tcPr>
            <w:tcW w:w="2517" w:type="dxa"/>
            <w:tcBorders>
              <w:top w:val="nil"/>
              <w:left w:val="nil"/>
              <w:bottom w:val="nil"/>
              <w:right w:val="nil"/>
            </w:tcBorders>
          </w:tcPr>
          <w:p w14:paraId="1AAC327E" w14:textId="77777777" w:rsidR="009E5696" w:rsidRDefault="00273474">
            <w:pPr>
              <w:spacing w:after="200"/>
            </w:pPr>
            <w:r>
              <w:rPr>
                <w:b/>
              </w:rPr>
              <w:t>Stated Maturity Date:</w:t>
            </w:r>
          </w:p>
        </w:tc>
        <w:tc>
          <w:tcPr>
            <w:tcW w:w="8810" w:type="dxa"/>
            <w:tcBorders>
              <w:top w:val="nil"/>
              <w:left w:val="nil"/>
              <w:bottom w:val="nil"/>
              <w:right w:val="nil"/>
            </w:tcBorders>
          </w:tcPr>
          <w:p w14:paraId="5B19C4DE" w14:textId="77777777" w:rsidR="009E5696" w:rsidRDefault="00273474">
            <w:pPr>
              <w:spacing w:after="200"/>
            </w:pPr>
            <w:r>
              <w:t>April 23, 2027</w:t>
            </w:r>
          </w:p>
        </w:tc>
      </w:tr>
      <w:tr w:rsidR="009E5696" w14:paraId="556B4A9F" w14:textId="77777777">
        <w:tc>
          <w:tcPr>
            <w:tcW w:w="2517" w:type="dxa"/>
            <w:tcBorders>
              <w:top w:val="nil"/>
              <w:left w:val="nil"/>
              <w:bottom w:val="nil"/>
              <w:right w:val="nil"/>
            </w:tcBorders>
          </w:tcPr>
          <w:p w14:paraId="1E9EFBED" w14:textId="77777777" w:rsidR="009E5696" w:rsidRDefault="00273474">
            <w:pPr>
              <w:spacing w:after="200"/>
            </w:pPr>
            <w:r>
              <w:rPr>
                <w:b/>
              </w:rPr>
              <w:t>Closing Level of the Underlier:</w:t>
            </w:r>
          </w:p>
        </w:tc>
        <w:tc>
          <w:tcPr>
            <w:tcW w:w="8810" w:type="dxa"/>
            <w:tcBorders>
              <w:top w:val="nil"/>
              <w:left w:val="nil"/>
              <w:bottom w:val="nil"/>
              <w:right w:val="nil"/>
            </w:tcBorders>
          </w:tcPr>
          <w:p w14:paraId="5433770F" w14:textId="77777777" w:rsidR="009E5696" w:rsidRDefault="00273474">
            <w:pPr>
              <w:spacing w:after="200"/>
            </w:pPr>
            <w:r>
              <w:t>When we refer to the closing level of the Underlier on any trading day, we mean the closing level of the Underlier or any successor underlier reported by Bloomberg Financial Services, or any successor reporting service we may select, on such trading day. Currently, Bloomberg Financial Services reports the closing level of the Underlier to fewer decimal places than the Underlier Sponsor. As a result, the closing level of the Underlier reported by Bloomberg Financial Services may be lower or higher than its official closing level published by the Underlier Sponsor.</w:t>
            </w:r>
          </w:p>
        </w:tc>
      </w:tr>
      <w:tr w:rsidR="009E5696" w14:paraId="22A946E4" w14:textId="77777777">
        <w:tc>
          <w:tcPr>
            <w:tcW w:w="2517" w:type="dxa"/>
            <w:tcBorders>
              <w:top w:val="nil"/>
              <w:left w:val="nil"/>
              <w:bottom w:val="nil"/>
              <w:right w:val="nil"/>
            </w:tcBorders>
          </w:tcPr>
          <w:p w14:paraId="101A9D3E" w14:textId="77777777" w:rsidR="009E5696" w:rsidRDefault="00273474">
            <w:pPr>
              <w:spacing w:after="200"/>
            </w:pPr>
            <w:r>
              <w:rPr>
                <w:b/>
              </w:rPr>
              <w:t>Business Day:</w:t>
            </w:r>
          </w:p>
        </w:tc>
        <w:tc>
          <w:tcPr>
            <w:tcW w:w="8810" w:type="dxa"/>
            <w:tcBorders>
              <w:top w:val="nil"/>
              <w:left w:val="nil"/>
              <w:bottom w:val="nil"/>
              <w:right w:val="nil"/>
            </w:tcBorders>
          </w:tcPr>
          <w:p w14:paraId="680F0114" w14:textId="77777777" w:rsidR="009E5696" w:rsidRDefault="00273474">
            <w:pPr>
              <w:spacing w:after="200"/>
            </w:pPr>
            <w:r>
              <w:t>As described under “Description of the Notes— Payment of Principal, Interest, and Other Amounts Payable— Business Day Convention” in the accompanying prospectus supplement</w:t>
            </w:r>
          </w:p>
        </w:tc>
      </w:tr>
      <w:tr w:rsidR="009E5696" w14:paraId="74C78F8B" w14:textId="77777777">
        <w:tc>
          <w:tcPr>
            <w:tcW w:w="2517" w:type="dxa"/>
            <w:tcBorders>
              <w:top w:val="nil"/>
              <w:left w:val="nil"/>
              <w:bottom w:val="nil"/>
              <w:right w:val="nil"/>
            </w:tcBorders>
          </w:tcPr>
          <w:p w14:paraId="53115E83" w14:textId="77777777" w:rsidR="009E5696" w:rsidRDefault="00273474">
            <w:pPr>
              <w:spacing w:after="200"/>
            </w:pPr>
            <w:r>
              <w:rPr>
                <w:b/>
              </w:rPr>
              <w:t>Trading Day:</w:t>
            </w:r>
          </w:p>
        </w:tc>
        <w:tc>
          <w:tcPr>
            <w:tcW w:w="8810" w:type="dxa"/>
            <w:tcBorders>
              <w:top w:val="nil"/>
              <w:left w:val="nil"/>
              <w:bottom w:val="nil"/>
              <w:right w:val="nil"/>
            </w:tcBorders>
          </w:tcPr>
          <w:p w14:paraId="5C639E95" w14:textId="77777777" w:rsidR="009E5696" w:rsidRDefault="00273474">
            <w:pPr>
              <w:spacing w:after="200"/>
            </w:pPr>
            <w:r>
              <w:t>As described under “Description of the Notes—Certain Terms of the Notes—Trading Days” in the accompanying product supplement</w:t>
            </w:r>
          </w:p>
        </w:tc>
      </w:tr>
      <w:tr w:rsidR="009E5696" w14:paraId="19EFD58A" w14:textId="77777777">
        <w:tc>
          <w:tcPr>
            <w:tcW w:w="2517" w:type="dxa"/>
            <w:tcBorders>
              <w:top w:val="nil"/>
              <w:left w:val="nil"/>
              <w:bottom w:val="nil"/>
              <w:right w:val="nil"/>
            </w:tcBorders>
          </w:tcPr>
          <w:p w14:paraId="26DACA66" w14:textId="77777777" w:rsidR="009E5696" w:rsidRDefault="00273474">
            <w:pPr>
              <w:spacing w:after="200"/>
            </w:pPr>
            <w:r>
              <w:rPr>
                <w:b/>
              </w:rPr>
              <w:t>Market Disruption Events:</w:t>
            </w:r>
          </w:p>
        </w:tc>
        <w:tc>
          <w:tcPr>
            <w:tcW w:w="8810" w:type="dxa"/>
            <w:tcBorders>
              <w:top w:val="nil"/>
              <w:left w:val="nil"/>
              <w:bottom w:val="nil"/>
              <w:right w:val="nil"/>
            </w:tcBorders>
          </w:tcPr>
          <w:p w14:paraId="32936B1F" w14:textId="77777777" w:rsidR="009E5696" w:rsidRDefault="00273474">
            <w:pPr>
              <w:spacing w:after="200"/>
            </w:pPr>
            <w:r>
              <w:t>The following replaces in its entirety the section entitled “Description of the Notes—Market Disruption Events—Indices” in the accompanying product supplement:</w:t>
            </w:r>
          </w:p>
          <w:p w14:paraId="5C81435A" w14:textId="77777777" w:rsidR="009E5696" w:rsidRDefault="00273474">
            <w:pPr>
              <w:spacing w:after="200"/>
            </w:pPr>
            <w:r>
              <w:t>With respect to any given trading day, any of the following will be a Market Disruption Event with respect to the Underlier:</w:t>
            </w:r>
          </w:p>
          <w:p w14:paraId="6601AB49" w14:textId="77777777" w:rsidR="009E5696" w:rsidRDefault="00273474">
            <w:pPr>
              <w:pStyle w:val="GSBulletList"/>
              <w:spacing w:after="200"/>
            </w:pPr>
            <w:r>
              <w:t>a suspension, absence or material limitation of trading in Underlier Stocks (as defined below) constituting 20% or more, by weight, of the Underlier on their respective primary markets, in each case for more than two consecutive hours of trading or during the one-half hour before the close of trading in that market, as determined by the calculation agent in its sole discretion,</w:t>
            </w:r>
          </w:p>
          <w:p w14:paraId="6914F652" w14:textId="77777777" w:rsidR="009E5696" w:rsidRDefault="00273474">
            <w:pPr>
              <w:pStyle w:val="GSBulletList"/>
              <w:spacing w:after="200"/>
            </w:pPr>
            <w:r>
              <w:t>a suspension, absence or material limitation of trading in option or futures contracts, if available, relating to the Underlier or to Underlier Stocks constituting 20% or more, by weight, of the Underlier in their respective primary markets for those contracts, in each case for more than two consecutive hours of trading or during the one-half hour before the close of trading in that market, as determined by the calculation agent in its sole discretion, or</w:t>
            </w:r>
          </w:p>
          <w:p w14:paraId="643A89B8" w14:textId="77777777" w:rsidR="009E5696" w:rsidRDefault="00273474">
            <w:pPr>
              <w:pStyle w:val="GSBulletList"/>
              <w:spacing w:after="200"/>
            </w:pPr>
            <w:r>
              <w:t>Underlier Stocks constituting 20% or more, by weight, of the Underlier, or option or futures contracts, if available, relating to the Underlier or to Underlier Stocks constituting 20% or more, by weight, of the Underlier do not trade on what were the respective primary markets for those Underlier Stocks or contracts, as determined by the calculation agent in its sole discretion,</w:t>
            </w:r>
          </w:p>
          <w:p w14:paraId="34C24132" w14:textId="77777777" w:rsidR="009E5696" w:rsidRDefault="00273474">
            <w:pPr>
              <w:spacing w:after="200"/>
            </w:pPr>
            <w:r>
              <w:t xml:space="preserve">and, in the case of any of these events, the calculation agent determines in its sole discretion that the event could materially interfere with the ability of us or any of our </w:t>
            </w:r>
            <w:r>
              <w:lastRenderedPageBreak/>
              <w:t>affiliates or a similarly situated party to unwind all or a material portion of a hedge that could be effected with respect to the notes. For more information about hedging by us and/or any of our affiliates, see “Supplemental Use of Proceeds” on page PS-15 of product supplement EQUITY-1.</w:t>
            </w:r>
          </w:p>
          <w:p w14:paraId="1B4BDD7A" w14:textId="77777777" w:rsidR="009E5696" w:rsidRDefault="00273474">
            <w:pPr>
              <w:spacing w:after="200"/>
            </w:pPr>
            <w:r>
              <w:t>The following events will not be Market Disruption Events with respect to the Underlier:</w:t>
            </w:r>
          </w:p>
          <w:p w14:paraId="487C61A5" w14:textId="77777777" w:rsidR="009E5696" w:rsidRDefault="00273474">
            <w:pPr>
              <w:pStyle w:val="GSBulletList"/>
              <w:spacing w:after="200"/>
            </w:pPr>
            <w:r>
              <w:t>a limitation on the hours or numbers of days of trading, but only if the limitation results from an announced change in the regular business hours of the relevant market, and</w:t>
            </w:r>
          </w:p>
          <w:p w14:paraId="66BAC5FD" w14:textId="77777777" w:rsidR="009E5696" w:rsidRDefault="00273474">
            <w:pPr>
              <w:pStyle w:val="GSBulletList"/>
              <w:spacing w:after="200"/>
            </w:pPr>
            <w:r>
              <w:t>a decision to permanently discontinue trading in the option or futures contracts relating to the Underlier or to any Underlier Stock.</w:t>
            </w:r>
          </w:p>
          <w:p w14:paraId="264A6CF4" w14:textId="77777777" w:rsidR="009E5696" w:rsidRDefault="00273474">
            <w:pPr>
              <w:spacing w:after="200"/>
            </w:pPr>
            <w:r>
              <w:t>For this purpose, an “absence of trading” in the primary securities market on which an Underlier Stock, or on which option or futures contracts, if available, relating to the Underlier or to any Underlier Stock are traded will not include any time when that market is itself closed for trading under ordinary circumstances. In contrast, a suspension or limitation of trading in an Underlier Stock or in option or futures contracts, if available, relating to the Underlier or to any Underlier Stock in the primary market for that stock or those contracts, by reason of:</w:t>
            </w:r>
          </w:p>
          <w:p w14:paraId="104291A7" w14:textId="77777777" w:rsidR="009E5696" w:rsidRDefault="00273474">
            <w:pPr>
              <w:pStyle w:val="GSBulletList"/>
              <w:spacing w:after="200"/>
            </w:pPr>
            <w:r>
              <w:t>a price change exceeding limits set by that market,</w:t>
            </w:r>
          </w:p>
          <w:p w14:paraId="64DA724E" w14:textId="77777777" w:rsidR="009E5696" w:rsidRDefault="00273474">
            <w:pPr>
              <w:pStyle w:val="GSBulletList"/>
              <w:spacing w:after="200"/>
            </w:pPr>
            <w:r>
              <w:t>an imbalance of orders relating to that Underlier Stock or those contracts, or</w:t>
            </w:r>
          </w:p>
          <w:p w14:paraId="2B6014D8" w14:textId="77777777" w:rsidR="009E5696" w:rsidRDefault="00273474">
            <w:pPr>
              <w:pStyle w:val="GSBulletList"/>
              <w:spacing w:after="200"/>
            </w:pPr>
            <w:r>
              <w:t>a disparity in bid and ask quotes relating to that Underlier Stock or those contracts,</w:t>
            </w:r>
          </w:p>
          <w:p w14:paraId="200C7BA3" w14:textId="77777777" w:rsidR="009E5696" w:rsidRDefault="00273474">
            <w:pPr>
              <w:spacing w:after="200"/>
            </w:pPr>
            <w:r>
              <w:t>will constitute a suspension or material limitation of trading in the Underlier or those contracts in that market.</w:t>
            </w:r>
          </w:p>
        </w:tc>
      </w:tr>
      <w:tr w:rsidR="009E5696" w14:paraId="2E4201E0" w14:textId="77777777">
        <w:tc>
          <w:tcPr>
            <w:tcW w:w="2517" w:type="dxa"/>
            <w:tcBorders>
              <w:top w:val="nil"/>
              <w:left w:val="nil"/>
              <w:bottom w:val="nil"/>
              <w:right w:val="nil"/>
            </w:tcBorders>
          </w:tcPr>
          <w:p w14:paraId="20DFC0E3" w14:textId="77777777" w:rsidR="009E5696" w:rsidRDefault="00273474">
            <w:pPr>
              <w:spacing w:after="200"/>
            </w:pPr>
            <w:r>
              <w:rPr>
                <w:b/>
              </w:rPr>
              <w:lastRenderedPageBreak/>
              <w:t>Events Relating to the Determination Date:</w:t>
            </w:r>
          </w:p>
        </w:tc>
        <w:tc>
          <w:tcPr>
            <w:tcW w:w="8810" w:type="dxa"/>
            <w:tcBorders>
              <w:top w:val="nil"/>
              <w:left w:val="nil"/>
              <w:bottom w:val="nil"/>
              <w:right w:val="nil"/>
            </w:tcBorders>
          </w:tcPr>
          <w:p w14:paraId="42F78F51" w14:textId="77777777" w:rsidR="009E5696" w:rsidRDefault="00273474">
            <w:pPr>
              <w:spacing w:after="200"/>
            </w:pPr>
            <w:r>
              <w:t>If, with respect to the Underlier, (i) a Market Disruption Event occurs on the Determination Date or (ii) the Determination Date is determined by the calculation agent not to be a Trading Day by reason of an extraordinary event, occurrence, declaration, or otherwise, the closing level of the Underlier for the Determination Date will be its closing level on the first scheduled Trading Day following the Determination Date. However, if (i) a Market Disruption Event occurs on the first scheduled Trading Day following the Determination Date or (ii) the first scheduled Trading Day following the Determination Date is determined by the calculation agent not to be a Trading Day by reason of an extraordinary event, occurrence, declaration or otherwise, the closing level of the Underlier for the Determination Date will be determined (or, if not determinable, estimated) by the calculation agent in a manner which the calculation agent considers commercially reasonable under the circumstances on such first scheduled Trading Day following the Determination Date, regardless of the occurrence of a Market Disruption Event or non-Trading Day on that day.</w:t>
            </w:r>
          </w:p>
        </w:tc>
      </w:tr>
      <w:tr w:rsidR="009E5696" w14:paraId="0045AC95" w14:textId="77777777">
        <w:tc>
          <w:tcPr>
            <w:tcW w:w="2517" w:type="dxa"/>
            <w:tcBorders>
              <w:top w:val="nil"/>
              <w:left w:val="nil"/>
              <w:bottom w:val="nil"/>
              <w:right w:val="nil"/>
            </w:tcBorders>
          </w:tcPr>
          <w:p w14:paraId="354EB3FC" w14:textId="77777777" w:rsidR="009E5696" w:rsidRDefault="00273474">
            <w:pPr>
              <w:spacing w:after="200"/>
            </w:pPr>
            <w:r>
              <w:rPr>
                <w:b/>
              </w:rPr>
              <w:t>No Listing:</w:t>
            </w:r>
          </w:p>
        </w:tc>
        <w:tc>
          <w:tcPr>
            <w:tcW w:w="8810" w:type="dxa"/>
            <w:tcBorders>
              <w:top w:val="nil"/>
              <w:left w:val="nil"/>
              <w:bottom w:val="nil"/>
              <w:right w:val="nil"/>
            </w:tcBorders>
          </w:tcPr>
          <w:p w14:paraId="275B9A92" w14:textId="77777777" w:rsidR="009E5696" w:rsidRDefault="00273474">
            <w:pPr>
              <w:spacing w:after="200"/>
            </w:pPr>
            <w:r>
              <w:t>The notes will not be listed on any securities exchange or interdealer quotation system</w:t>
            </w:r>
          </w:p>
        </w:tc>
      </w:tr>
      <w:tr w:rsidR="009E5696" w14:paraId="42DB3190" w14:textId="77777777">
        <w:tc>
          <w:tcPr>
            <w:tcW w:w="2517" w:type="dxa"/>
            <w:tcBorders>
              <w:top w:val="nil"/>
              <w:left w:val="nil"/>
              <w:bottom w:val="nil"/>
              <w:right w:val="nil"/>
            </w:tcBorders>
          </w:tcPr>
          <w:p w14:paraId="0BFA85EE" w14:textId="77777777" w:rsidR="009E5696" w:rsidRDefault="00273474">
            <w:pPr>
              <w:spacing w:after="200"/>
            </w:pPr>
            <w:r>
              <w:rPr>
                <w:b/>
              </w:rPr>
              <w:t>No Interest:</w:t>
            </w:r>
          </w:p>
        </w:tc>
        <w:tc>
          <w:tcPr>
            <w:tcW w:w="8810" w:type="dxa"/>
            <w:tcBorders>
              <w:top w:val="nil"/>
              <w:left w:val="nil"/>
              <w:bottom w:val="nil"/>
              <w:right w:val="nil"/>
            </w:tcBorders>
          </w:tcPr>
          <w:p w14:paraId="24F0BEFA" w14:textId="77777777" w:rsidR="009E5696" w:rsidRDefault="00273474">
            <w:pPr>
              <w:spacing w:after="200"/>
            </w:pPr>
            <w:r>
              <w:t>The notes do not bear interest</w:t>
            </w:r>
          </w:p>
        </w:tc>
      </w:tr>
      <w:tr w:rsidR="009E5696" w14:paraId="3643B3CF" w14:textId="77777777">
        <w:tc>
          <w:tcPr>
            <w:tcW w:w="2517" w:type="dxa"/>
            <w:tcBorders>
              <w:top w:val="nil"/>
              <w:left w:val="nil"/>
              <w:bottom w:val="nil"/>
              <w:right w:val="nil"/>
            </w:tcBorders>
          </w:tcPr>
          <w:p w14:paraId="6E09271B" w14:textId="77777777" w:rsidR="009E5696" w:rsidRDefault="00273474">
            <w:pPr>
              <w:spacing w:after="200"/>
            </w:pPr>
            <w:r>
              <w:rPr>
                <w:b/>
              </w:rPr>
              <w:t>No Redemption:</w:t>
            </w:r>
          </w:p>
        </w:tc>
        <w:tc>
          <w:tcPr>
            <w:tcW w:w="8810" w:type="dxa"/>
            <w:tcBorders>
              <w:top w:val="nil"/>
              <w:left w:val="nil"/>
              <w:bottom w:val="nil"/>
              <w:right w:val="nil"/>
            </w:tcBorders>
          </w:tcPr>
          <w:p w14:paraId="702E2B65" w14:textId="77777777" w:rsidR="009E5696" w:rsidRDefault="00273474">
            <w:pPr>
              <w:spacing w:after="200"/>
            </w:pPr>
            <w:r>
              <w:t>The notes will not be subject to any optional redemption right or price dependent redemption right</w:t>
            </w:r>
          </w:p>
        </w:tc>
      </w:tr>
      <w:tr w:rsidR="009E5696" w14:paraId="62F570D7" w14:textId="77777777">
        <w:tc>
          <w:tcPr>
            <w:tcW w:w="2517" w:type="dxa"/>
            <w:tcBorders>
              <w:top w:val="nil"/>
              <w:left w:val="nil"/>
              <w:bottom w:val="nil"/>
              <w:right w:val="nil"/>
            </w:tcBorders>
          </w:tcPr>
          <w:p w14:paraId="5E55D840" w14:textId="77777777" w:rsidR="009E5696" w:rsidRDefault="00273474">
            <w:pPr>
              <w:spacing w:after="200"/>
            </w:pPr>
            <w:r>
              <w:rPr>
                <w:b/>
              </w:rPr>
              <w:t>Events of Default:</w:t>
            </w:r>
          </w:p>
        </w:tc>
        <w:tc>
          <w:tcPr>
            <w:tcW w:w="8810" w:type="dxa"/>
            <w:tcBorders>
              <w:top w:val="nil"/>
              <w:left w:val="nil"/>
              <w:bottom w:val="nil"/>
              <w:right w:val="nil"/>
            </w:tcBorders>
          </w:tcPr>
          <w:p w14:paraId="1E55F71A" w14:textId="77777777" w:rsidR="009E5696" w:rsidRDefault="00273474">
            <w:pPr>
              <w:spacing w:after="200"/>
            </w:pPr>
            <w:r>
              <w:t xml:space="preserve">If an Event of Default, as defined in the senior indenture and in the section entitled “Description of Debt Securities of BofA Finance LLC — Events of Default and Rights of Acceleration” on page 51 of the accompanying prospectus, with respect to the notes occurs and is continuing, the amount payable to a holder of the notes upon any acceleration permitted under the senior indenture will be equal to the amount described under the caption “—Cash Settlement Amount” above, calculated as though the date of acceleration were the maturity date of the notes and as though the determination date were the second trading day prior to the date of acceleration. In </w:t>
            </w:r>
            <w:r>
              <w:lastRenderedPageBreak/>
              <w:t>case of a default in the payment of the notes, the notes will not bear a default interest rate.</w:t>
            </w:r>
          </w:p>
        </w:tc>
      </w:tr>
      <w:tr w:rsidR="009E5696" w14:paraId="231D2D8E" w14:textId="77777777">
        <w:tc>
          <w:tcPr>
            <w:tcW w:w="2517" w:type="dxa"/>
            <w:tcBorders>
              <w:top w:val="nil"/>
              <w:left w:val="nil"/>
              <w:bottom w:val="nil"/>
              <w:right w:val="nil"/>
            </w:tcBorders>
          </w:tcPr>
          <w:p w14:paraId="7CF6E47C" w14:textId="77777777" w:rsidR="009E5696" w:rsidRDefault="00273474">
            <w:pPr>
              <w:spacing w:after="200"/>
            </w:pPr>
            <w:r>
              <w:rPr>
                <w:b/>
              </w:rPr>
              <w:lastRenderedPageBreak/>
              <w:t>Calculation Agent:</w:t>
            </w:r>
          </w:p>
        </w:tc>
        <w:tc>
          <w:tcPr>
            <w:tcW w:w="8810" w:type="dxa"/>
            <w:tcBorders>
              <w:top w:val="nil"/>
              <w:left w:val="nil"/>
              <w:bottom w:val="nil"/>
              <w:right w:val="nil"/>
            </w:tcBorders>
          </w:tcPr>
          <w:p w14:paraId="26A856F8" w14:textId="77777777" w:rsidR="009E5696" w:rsidRDefault="00273474">
            <w:pPr>
              <w:spacing w:after="200"/>
            </w:pPr>
            <w:r>
              <w:t>BofAS, an affiliate of BofA Finance.</w:t>
            </w:r>
          </w:p>
        </w:tc>
      </w:tr>
      <w:tr w:rsidR="009E5696" w14:paraId="6C2A061D" w14:textId="77777777">
        <w:tc>
          <w:tcPr>
            <w:tcW w:w="2517" w:type="dxa"/>
            <w:tcBorders>
              <w:top w:val="nil"/>
              <w:left w:val="nil"/>
              <w:bottom w:val="nil"/>
              <w:right w:val="nil"/>
            </w:tcBorders>
          </w:tcPr>
          <w:p w14:paraId="316962AD" w14:textId="77777777" w:rsidR="009E5696" w:rsidRDefault="00273474">
            <w:pPr>
              <w:spacing w:after="200"/>
            </w:pPr>
            <w:r>
              <w:rPr>
                <w:b/>
              </w:rPr>
              <w:t>Selling Agent:</w:t>
            </w:r>
          </w:p>
        </w:tc>
        <w:tc>
          <w:tcPr>
            <w:tcW w:w="8810" w:type="dxa"/>
            <w:tcBorders>
              <w:top w:val="nil"/>
              <w:left w:val="nil"/>
              <w:bottom w:val="nil"/>
              <w:right w:val="nil"/>
            </w:tcBorders>
          </w:tcPr>
          <w:p w14:paraId="32FB4244" w14:textId="77777777" w:rsidR="009E5696" w:rsidRDefault="00273474">
            <w:pPr>
              <w:spacing w:after="200"/>
            </w:pPr>
            <w:r>
              <w:t>BofAS</w:t>
            </w:r>
          </w:p>
        </w:tc>
      </w:tr>
      <w:tr w:rsidR="009E5696" w14:paraId="4E625E71" w14:textId="77777777">
        <w:tc>
          <w:tcPr>
            <w:tcW w:w="2517" w:type="dxa"/>
            <w:tcBorders>
              <w:top w:val="nil"/>
              <w:left w:val="nil"/>
              <w:bottom w:val="nil"/>
              <w:right w:val="nil"/>
            </w:tcBorders>
          </w:tcPr>
          <w:p w14:paraId="23397774" w14:textId="77777777" w:rsidR="009E5696" w:rsidRDefault="00273474">
            <w:pPr>
              <w:spacing w:after="200"/>
            </w:pPr>
            <w:r>
              <w:rPr>
                <w:b/>
              </w:rPr>
              <w:t>CUSIP/ISIN:</w:t>
            </w:r>
          </w:p>
        </w:tc>
        <w:tc>
          <w:tcPr>
            <w:tcW w:w="8810" w:type="dxa"/>
            <w:tcBorders>
              <w:top w:val="nil"/>
              <w:left w:val="nil"/>
              <w:bottom w:val="nil"/>
              <w:right w:val="nil"/>
            </w:tcBorders>
          </w:tcPr>
          <w:p w14:paraId="6EA86CC9" w14:textId="77777777" w:rsidR="009E5696" w:rsidRDefault="00273474">
            <w:pPr>
              <w:spacing w:after="200"/>
            </w:pPr>
            <w:r>
              <w:t>09711QVW0 / US09711QVW04</w:t>
            </w:r>
          </w:p>
        </w:tc>
      </w:tr>
      <w:tr w:rsidR="009E5696" w14:paraId="7BB6D836" w14:textId="77777777">
        <w:tc>
          <w:tcPr>
            <w:tcW w:w="2517" w:type="dxa"/>
            <w:tcBorders>
              <w:top w:val="nil"/>
              <w:left w:val="nil"/>
              <w:bottom w:val="nil"/>
              <w:right w:val="nil"/>
            </w:tcBorders>
          </w:tcPr>
          <w:p w14:paraId="2ECE05F8" w14:textId="77777777" w:rsidR="009E5696" w:rsidRDefault="00273474">
            <w:pPr>
              <w:spacing w:after="200"/>
            </w:pPr>
            <w:r>
              <w:rPr>
                <w:b/>
              </w:rPr>
              <w:t>Initial Estimated Value:</w:t>
            </w:r>
          </w:p>
        </w:tc>
        <w:tc>
          <w:tcPr>
            <w:tcW w:w="8810" w:type="dxa"/>
            <w:tcBorders>
              <w:top w:val="nil"/>
              <w:left w:val="nil"/>
              <w:bottom w:val="nil"/>
              <w:right w:val="nil"/>
            </w:tcBorders>
          </w:tcPr>
          <w:p w14:paraId="30C7CAAB" w14:textId="77777777" w:rsidR="009E5696" w:rsidRDefault="00273474">
            <w:pPr>
              <w:spacing w:after="200"/>
            </w:pPr>
            <w:r>
              <w:t>The initial estimated value of the notes as of the trade date is set forth on the cover page of this pricing supplement.Payments on the notes, including the Threshold Settlement Amount, depend on the credit risk of BofA Finance and BAC and on the performance of the Underlier. The economic terms of the notes are based on BAC’s internal funding rate, which is the rate it would pay to borrow funds through the issuance of market-linked notes and the economic terms of certain related hedging arrangements it enters into. BAC’s internal funding rate is typically lower than the rate it would pay when it issues conventional fixed or floating rate debt securities. This difference in funding rate, as well as the hedging-related charges described below, reduced the economic terms of the notes to you and the initial estimated value of the notes. Due to these factors, the public offering price you pay to purchase the notes is greater than the initial estimated value of the notes as of the trade date.</w:t>
            </w:r>
          </w:p>
        </w:tc>
      </w:tr>
      <w:tr w:rsidR="009E5696" w14:paraId="4B720D44" w14:textId="77777777">
        <w:tc>
          <w:tcPr>
            <w:tcW w:w="2517" w:type="dxa"/>
            <w:tcBorders>
              <w:top w:val="nil"/>
              <w:left w:val="nil"/>
              <w:bottom w:val="nil"/>
              <w:right w:val="nil"/>
            </w:tcBorders>
          </w:tcPr>
          <w:p w14:paraId="30918482" w14:textId="77777777" w:rsidR="009E5696" w:rsidRDefault="009E5696">
            <w:pPr>
              <w:spacing w:after="200"/>
            </w:pPr>
          </w:p>
        </w:tc>
        <w:tc>
          <w:tcPr>
            <w:tcW w:w="8810" w:type="dxa"/>
            <w:tcBorders>
              <w:top w:val="nil"/>
              <w:left w:val="nil"/>
              <w:bottom w:val="nil"/>
              <w:right w:val="nil"/>
            </w:tcBorders>
          </w:tcPr>
          <w:p w14:paraId="5995307D" w14:textId="77777777" w:rsidR="009E5696" w:rsidRDefault="00273474">
            <w:pPr>
              <w:spacing w:after="200"/>
            </w:pPr>
            <w:r>
              <w:t>For more information about the initial estimated value and the structuring of the notes, see “Risk Factors” beginning on page PS-11 and “Structuring the Notes” on page PS-27.</w:t>
            </w:r>
          </w:p>
        </w:tc>
      </w:tr>
    </w:tbl>
    <w:p w14:paraId="7173CC15" w14:textId="77777777" w:rsidR="009E5696" w:rsidRDefault="00273474">
      <w:pPr>
        <w:pStyle w:val="GSBody"/>
        <w:pageBreakBefore/>
        <w:spacing w:before="200" w:after="200"/>
        <w:jc w:val="center"/>
      </w:pPr>
      <w:r>
        <w:rPr>
          <w:b/>
        </w:rPr>
        <w:lastRenderedPageBreak/>
        <w:t>Supplemental Terms of the Notes</w:t>
      </w:r>
    </w:p>
    <w:p w14:paraId="02692E6E" w14:textId="77777777" w:rsidR="009E5696" w:rsidRDefault="00273474">
      <w:pPr>
        <w:spacing w:line="200" w:lineRule="atLeast"/>
      </w:pPr>
      <w:r>
        <w:t>For purposes of the notes offered by this pricing supplement, all references to each of the following terms used in the accompanying product supplement will be deemed to refer to the corresponding term used in this pricing supplement, as set forth in the table below:</w:t>
      </w:r>
    </w:p>
    <w:p w14:paraId="1826DB8D" w14:textId="77777777" w:rsidR="009E5696" w:rsidRDefault="009E5696"/>
    <w:tbl>
      <w:tblPr>
        <w:tblW w:w="0" w:type="auto"/>
        <w:tblLook w:val="04A0" w:firstRow="1" w:lastRow="0" w:firstColumn="1" w:lastColumn="0" w:noHBand="0" w:noVBand="1"/>
      </w:tblPr>
      <w:tblGrid>
        <w:gridCol w:w="5055"/>
        <w:gridCol w:w="5070"/>
      </w:tblGrid>
      <w:tr w:rsidR="009E5696" w14:paraId="5D985451" w14:textId="77777777">
        <w:tc>
          <w:tcPr>
            <w:tcW w:w="5664" w:type="dxa"/>
            <w:tcBorders>
              <w:top w:val="nil"/>
              <w:left w:val="nil"/>
              <w:bottom w:val="nil"/>
              <w:right w:val="nil"/>
            </w:tcBorders>
          </w:tcPr>
          <w:p w14:paraId="25C15C6F" w14:textId="77777777" w:rsidR="009E5696" w:rsidRDefault="00273474">
            <w:pPr>
              <w:spacing w:after="200"/>
            </w:pPr>
            <w:r>
              <w:rPr>
                <w:b/>
              </w:rPr>
              <w:t>Product Supplement Term</w:t>
            </w:r>
          </w:p>
        </w:tc>
        <w:tc>
          <w:tcPr>
            <w:tcW w:w="5664" w:type="dxa"/>
            <w:tcBorders>
              <w:top w:val="nil"/>
              <w:left w:val="nil"/>
              <w:bottom w:val="nil"/>
              <w:right w:val="nil"/>
            </w:tcBorders>
          </w:tcPr>
          <w:p w14:paraId="0603DF40" w14:textId="77777777" w:rsidR="009E5696" w:rsidRDefault="00273474">
            <w:pPr>
              <w:spacing w:after="200"/>
            </w:pPr>
            <w:r>
              <w:rPr>
                <w:b/>
              </w:rPr>
              <w:t>Pricing Supplement Term</w:t>
            </w:r>
          </w:p>
        </w:tc>
      </w:tr>
      <w:tr w:rsidR="009E5696" w14:paraId="1169A214" w14:textId="77777777">
        <w:tc>
          <w:tcPr>
            <w:tcW w:w="5664" w:type="dxa"/>
            <w:tcBorders>
              <w:top w:val="nil"/>
              <w:left w:val="nil"/>
              <w:bottom w:val="nil"/>
              <w:right w:val="nil"/>
            </w:tcBorders>
          </w:tcPr>
          <w:p w14:paraId="37E79EDD" w14:textId="77777777" w:rsidR="009E5696" w:rsidRDefault="00273474">
            <w:pPr>
              <w:spacing w:after="200"/>
            </w:pPr>
            <w:r>
              <w:t>pricing date</w:t>
            </w:r>
          </w:p>
        </w:tc>
        <w:tc>
          <w:tcPr>
            <w:tcW w:w="5664" w:type="dxa"/>
            <w:tcBorders>
              <w:top w:val="nil"/>
              <w:left w:val="nil"/>
              <w:bottom w:val="nil"/>
              <w:right w:val="nil"/>
            </w:tcBorders>
          </w:tcPr>
          <w:p w14:paraId="4BC64C4A" w14:textId="77777777" w:rsidR="009E5696" w:rsidRDefault="00273474">
            <w:pPr>
              <w:spacing w:after="200"/>
            </w:pPr>
            <w:r>
              <w:t>trade date</w:t>
            </w:r>
          </w:p>
        </w:tc>
      </w:tr>
      <w:tr w:rsidR="009E5696" w14:paraId="779DCD00" w14:textId="77777777">
        <w:tc>
          <w:tcPr>
            <w:tcW w:w="5664" w:type="dxa"/>
            <w:tcBorders>
              <w:top w:val="nil"/>
              <w:left w:val="nil"/>
              <w:bottom w:val="nil"/>
              <w:right w:val="nil"/>
            </w:tcBorders>
          </w:tcPr>
          <w:p w14:paraId="1C7BA206" w14:textId="77777777" w:rsidR="009E5696" w:rsidRDefault="00273474">
            <w:pPr>
              <w:spacing w:after="200"/>
            </w:pPr>
            <w:r>
              <w:t>maturity date</w:t>
            </w:r>
          </w:p>
        </w:tc>
        <w:tc>
          <w:tcPr>
            <w:tcW w:w="5664" w:type="dxa"/>
            <w:tcBorders>
              <w:top w:val="nil"/>
              <w:left w:val="nil"/>
              <w:bottom w:val="nil"/>
              <w:right w:val="nil"/>
            </w:tcBorders>
          </w:tcPr>
          <w:p w14:paraId="4E0381F7" w14:textId="77777777" w:rsidR="009E5696" w:rsidRDefault="00273474">
            <w:pPr>
              <w:spacing w:after="200"/>
            </w:pPr>
            <w:r>
              <w:t>stated maturity date</w:t>
            </w:r>
          </w:p>
        </w:tc>
      </w:tr>
      <w:tr w:rsidR="009E5696" w14:paraId="2FAF0269" w14:textId="77777777">
        <w:tc>
          <w:tcPr>
            <w:tcW w:w="5664" w:type="dxa"/>
            <w:tcBorders>
              <w:top w:val="nil"/>
              <w:left w:val="nil"/>
              <w:bottom w:val="nil"/>
              <w:right w:val="nil"/>
            </w:tcBorders>
          </w:tcPr>
          <w:p w14:paraId="7BCE64E5" w14:textId="77777777" w:rsidR="009E5696" w:rsidRDefault="00273474">
            <w:pPr>
              <w:spacing w:after="200"/>
            </w:pPr>
            <w:r>
              <w:t>calculation day</w:t>
            </w:r>
          </w:p>
        </w:tc>
        <w:tc>
          <w:tcPr>
            <w:tcW w:w="5664" w:type="dxa"/>
            <w:tcBorders>
              <w:top w:val="nil"/>
              <w:left w:val="nil"/>
              <w:bottom w:val="nil"/>
              <w:right w:val="nil"/>
            </w:tcBorders>
          </w:tcPr>
          <w:p w14:paraId="3801949C" w14:textId="77777777" w:rsidR="009E5696" w:rsidRDefault="00273474">
            <w:pPr>
              <w:spacing w:after="200"/>
            </w:pPr>
            <w:r>
              <w:t>Determination Date</w:t>
            </w:r>
          </w:p>
        </w:tc>
      </w:tr>
      <w:tr w:rsidR="009E5696" w14:paraId="10E7D6B5" w14:textId="77777777">
        <w:tc>
          <w:tcPr>
            <w:tcW w:w="5664" w:type="dxa"/>
            <w:tcBorders>
              <w:top w:val="nil"/>
              <w:left w:val="nil"/>
              <w:bottom w:val="nil"/>
              <w:right w:val="nil"/>
            </w:tcBorders>
          </w:tcPr>
          <w:p w14:paraId="67FC3289" w14:textId="77777777" w:rsidR="009E5696" w:rsidRDefault="00273474">
            <w:pPr>
              <w:spacing w:after="200"/>
            </w:pPr>
            <w:r>
              <w:t>principal amount</w:t>
            </w:r>
          </w:p>
        </w:tc>
        <w:tc>
          <w:tcPr>
            <w:tcW w:w="5664" w:type="dxa"/>
            <w:tcBorders>
              <w:top w:val="nil"/>
              <w:left w:val="nil"/>
              <w:bottom w:val="nil"/>
              <w:right w:val="nil"/>
            </w:tcBorders>
          </w:tcPr>
          <w:p w14:paraId="512B9B0B" w14:textId="77777777" w:rsidR="009E5696" w:rsidRDefault="00273474">
            <w:pPr>
              <w:spacing w:after="200"/>
            </w:pPr>
            <w:r>
              <w:t>face amount</w:t>
            </w:r>
          </w:p>
        </w:tc>
      </w:tr>
      <w:tr w:rsidR="009E5696" w14:paraId="20FA5B13" w14:textId="77777777">
        <w:tc>
          <w:tcPr>
            <w:tcW w:w="5664" w:type="dxa"/>
            <w:tcBorders>
              <w:top w:val="nil"/>
              <w:left w:val="nil"/>
              <w:bottom w:val="nil"/>
              <w:right w:val="nil"/>
            </w:tcBorders>
          </w:tcPr>
          <w:p w14:paraId="29248BD6" w14:textId="77777777" w:rsidR="009E5696" w:rsidRDefault="00273474">
            <w:pPr>
              <w:spacing w:after="200"/>
            </w:pPr>
            <w:r>
              <w:t>Underlying</w:t>
            </w:r>
          </w:p>
        </w:tc>
        <w:tc>
          <w:tcPr>
            <w:tcW w:w="5664" w:type="dxa"/>
            <w:tcBorders>
              <w:top w:val="nil"/>
              <w:left w:val="nil"/>
              <w:bottom w:val="nil"/>
              <w:right w:val="nil"/>
            </w:tcBorders>
          </w:tcPr>
          <w:p w14:paraId="7A155F6A" w14:textId="77777777" w:rsidR="009E5696" w:rsidRDefault="00273474">
            <w:pPr>
              <w:spacing w:after="200"/>
            </w:pPr>
            <w:r>
              <w:t>Underlier</w:t>
            </w:r>
          </w:p>
        </w:tc>
      </w:tr>
      <w:tr w:rsidR="009E5696" w14:paraId="117B5541" w14:textId="77777777">
        <w:tc>
          <w:tcPr>
            <w:tcW w:w="5664" w:type="dxa"/>
            <w:tcBorders>
              <w:top w:val="nil"/>
              <w:left w:val="nil"/>
              <w:bottom w:val="nil"/>
              <w:right w:val="nil"/>
            </w:tcBorders>
          </w:tcPr>
          <w:p w14:paraId="3F849B3B" w14:textId="77777777" w:rsidR="009E5696" w:rsidRDefault="00273474">
            <w:pPr>
              <w:spacing w:after="200"/>
            </w:pPr>
            <w:r>
              <w:t>Index</w:t>
            </w:r>
          </w:p>
        </w:tc>
        <w:tc>
          <w:tcPr>
            <w:tcW w:w="5664" w:type="dxa"/>
            <w:tcBorders>
              <w:top w:val="nil"/>
              <w:left w:val="nil"/>
              <w:bottom w:val="nil"/>
              <w:right w:val="nil"/>
            </w:tcBorders>
          </w:tcPr>
          <w:p w14:paraId="5D43EA2B" w14:textId="77777777" w:rsidR="009E5696" w:rsidRDefault="00273474">
            <w:pPr>
              <w:spacing w:after="200"/>
            </w:pPr>
            <w:r>
              <w:t>Underlier</w:t>
            </w:r>
          </w:p>
        </w:tc>
      </w:tr>
    </w:tbl>
    <w:p w14:paraId="43826C17" w14:textId="77777777" w:rsidR="009E5696" w:rsidRDefault="009E5696">
      <w:pPr>
        <w:spacing w:after="200"/>
      </w:pPr>
    </w:p>
    <w:p w14:paraId="7D798126" w14:textId="77777777" w:rsidR="009E5696" w:rsidRDefault="00273474">
      <w:pPr>
        <w:pageBreakBefore/>
        <w:spacing w:after="200"/>
        <w:jc w:val="center"/>
      </w:pPr>
      <w:bookmarkStart w:id="8" w:name="gsHypos"/>
      <w:r>
        <w:rPr>
          <w:b/>
        </w:rPr>
        <w:lastRenderedPageBreak/>
        <w:t>HYPOTHETICAL EXAMPLES</w:t>
      </w:r>
      <w:bookmarkEnd w:id="8"/>
    </w:p>
    <w:p w14:paraId="395C83FE" w14:textId="77777777" w:rsidR="009E5696" w:rsidRDefault="00273474">
      <w:pPr>
        <w:pStyle w:val="BofaPara"/>
        <w:spacing w:line="200" w:lineRule="atLeast"/>
      </w:pPr>
      <w:r>
        <w:rPr>
          <w:rFonts w:eastAsia="Arial"/>
        </w:rPr>
        <w:t>The following table and chart are provided for purposes of illustration only. They should not be taken as an indication or prediction of future investment results and merely are intended to illustrate the impact that the various hypothetical levels of the Underlier on the Determination Date could have on the Cash Settlement Amount at maturity assuming all other variables remain constant.</w:t>
      </w:r>
    </w:p>
    <w:p w14:paraId="2D408469" w14:textId="77777777" w:rsidR="009E5696" w:rsidRDefault="00273474">
      <w:pPr>
        <w:pStyle w:val="BofaPara"/>
        <w:spacing w:line="200" w:lineRule="atLeast"/>
      </w:pPr>
      <w:r>
        <w:rPr>
          <w:rFonts w:eastAsia="Arial"/>
        </w:rPr>
        <w:t>The examples below are based on a range of Final Underlier Levels that are entirely hypothetical; the level of the Underlier on any day throughout the life of the notes, including the Final Underlier Level on the Determination Date, cannot be predicted. The Underlier has been highly volatile in the past — meaning that the level of the Underlier has changed considerably in relatively short periods — and its performance cannot be predicted for any future period.</w:t>
      </w:r>
    </w:p>
    <w:p w14:paraId="1F248185" w14:textId="4BF764F6" w:rsidR="009E5696" w:rsidRDefault="00273474">
      <w:pPr>
        <w:pStyle w:val="BofaPara"/>
        <w:spacing w:line="200" w:lineRule="atLeast"/>
      </w:pPr>
      <w:r>
        <w:rPr>
          <w:rFonts w:eastAsia="Arial"/>
        </w:rPr>
        <w:t>The information in the following examples reflects hypothetical rates of return on the offered notes assuming that they are purchased on the original issue date at the face amount and held to the stated maturity date. If you sell your notes in a secondary market prior to the stated maturity date, your return will depend upon the market value of your notes at the time of sale, which may be affected by a number of factors that are not reflected in the table below, such as interest rates, the volatility of the Underlier, the creditworthiness of BofA Finance, as issuer, and the creditworthiness of BAC, as guarantor. In addition, the initial estimated value of your notes at the time the terms of your notes were set on the trade date (as determined by reference to pricing models used by us and our affiliates) is less than the original price to public of your notes. For more information on the estimated value of your notes, see “Risk Factors — The Public Offering Price for the Notes Exceeds Their Initial Estimated Value” on page PS-</w:t>
      </w:r>
      <w:r>
        <w:fldChar w:fldCharType="begin"/>
      </w:r>
      <w:r>
        <w:instrText xml:space="preserve"> PAGEREF gsRiskPublicOfferingLink \h </w:instrText>
      </w:r>
      <w:r>
        <w:fldChar w:fldCharType="separate"/>
      </w:r>
      <w:r w:rsidR="00C52DF6">
        <w:rPr>
          <w:noProof/>
        </w:rPr>
        <w:t>12</w:t>
      </w:r>
      <w:r>
        <w:fldChar w:fldCharType="end"/>
      </w:r>
      <w:r>
        <w:t xml:space="preserve"> of this pricing supplement. The information in the table also reflects the key terms and assumptions in the box below.</w:t>
      </w:r>
    </w:p>
    <w:tbl>
      <w:tblPr>
        <w:tblW w:w="0" w:type="auto"/>
        <w:tblLook w:val="04A0" w:firstRow="1" w:lastRow="0" w:firstColumn="1" w:lastColumn="0" w:noHBand="0" w:noVBand="1"/>
      </w:tblPr>
      <w:tblGrid>
        <w:gridCol w:w="507"/>
        <w:gridCol w:w="2385"/>
        <w:gridCol w:w="6726"/>
        <w:gridCol w:w="507"/>
      </w:tblGrid>
      <w:tr w:rsidR="009E5696" w14:paraId="312E48D0" w14:textId="77777777">
        <w:tc>
          <w:tcPr>
            <w:tcW w:w="511" w:type="dxa"/>
            <w:tcBorders>
              <w:top w:val="nil"/>
              <w:left w:val="nil"/>
              <w:bottom w:val="nil"/>
            </w:tcBorders>
          </w:tcPr>
          <w:p w14:paraId="568988D5" w14:textId="77777777" w:rsidR="009E5696" w:rsidRDefault="009E5696">
            <w:pPr>
              <w:spacing w:before="40" w:after="40"/>
            </w:pPr>
          </w:p>
        </w:tc>
        <w:tc>
          <w:tcPr>
            <w:tcW w:w="9200" w:type="dxa"/>
            <w:gridSpan w:val="2"/>
            <w:tcBorders>
              <w:top w:val="single" w:sz="8" w:space="0" w:color="auto"/>
              <w:left w:val="single" w:sz="8" w:space="0" w:color="auto"/>
              <w:bottom w:val="single" w:sz="8" w:space="0" w:color="auto"/>
              <w:right w:val="single" w:sz="8" w:space="0" w:color="auto"/>
            </w:tcBorders>
          </w:tcPr>
          <w:p w14:paraId="75533216" w14:textId="77777777" w:rsidR="009E5696" w:rsidRDefault="00273474">
            <w:pPr>
              <w:spacing w:before="40" w:after="40"/>
            </w:pPr>
            <w:r>
              <w:rPr>
                <w:b/>
              </w:rPr>
              <w:t>Key Terms and Assumptions</w:t>
            </w:r>
          </w:p>
        </w:tc>
        <w:tc>
          <w:tcPr>
            <w:tcW w:w="511" w:type="dxa"/>
            <w:tcBorders>
              <w:top w:val="nil"/>
              <w:bottom w:val="nil"/>
              <w:right w:val="nil"/>
            </w:tcBorders>
          </w:tcPr>
          <w:p w14:paraId="13B5669D" w14:textId="77777777" w:rsidR="009E5696" w:rsidRDefault="009E5696">
            <w:pPr>
              <w:spacing w:before="40" w:after="40"/>
            </w:pPr>
          </w:p>
        </w:tc>
      </w:tr>
      <w:tr w:rsidR="009E5696" w14:paraId="10186160" w14:textId="77777777">
        <w:tc>
          <w:tcPr>
            <w:tcW w:w="511" w:type="dxa"/>
            <w:tcBorders>
              <w:top w:val="nil"/>
              <w:left w:val="nil"/>
              <w:bottom w:val="nil"/>
            </w:tcBorders>
          </w:tcPr>
          <w:p w14:paraId="57AC1ABE" w14:textId="77777777" w:rsidR="009E5696" w:rsidRDefault="009E5696">
            <w:pPr>
              <w:spacing w:before="40" w:after="40"/>
            </w:pPr>
          </w:p>
        </w:tc>
        <w:tc>
          <w:tcPr>
            <w:tcW w:w="2402" w:type="dxa"/>
            <w:tcBorders>
              <w:top w:val="single" w:sz="8" w:space="0" w:color="auto"/>
              <w:left w:val="single" w:sz="8" w:space="0" w:color="auto"/>
              <w:bottom w:val="single" w:sz="8" w:space="0" w:color="auto"/>
              <w:right w:val="single" w:sz="8" w:space="0" w:color="auto"/>
            </w:tcBorders>
          </w:tcPr>
          <w:p w14:paraId="008ADA4C" w14:textId="77777777" w:rsidR="009E5696" w:rsidRDefault="00273474">
            <w:pPr>
              <w:spacing w:before="40" w:after="40"/>
            </w:pPr>
            <w:r>
              <w:t>Face Amount</w:t>
            </w:r>
          </w:p>
        </w:tc>
        <w:tc>
          <w:tcPr>
            <w:tcW w:w="6798" w:type="dxa"/>
            <w:tcBorders>
              <w:top w:val="single" w:sz="8" w:space="0" w:color="auto"/>
              <w:left w:val="single" w:sz="8" w:space="0" w:color="auto"/>
              <w:bottom w:val="single" w:sz="8" w:space="0" w:color="auto"/>
              <w:right w:val="single" w:sz="8" w:space="0" w:color="auto"/>
            </w:tcBorders>
          </w:tcPr>
          <w:p w14:paraId="69E53EF8" w14:textId="77777777" w:rsidR="009E5696" w:rsidRDefault="00273474">
            <w:pPr>
              <w:spacing w:before="40" w:after="40"/>
              <w:jc w:val="right"/>
            </w:pPr>
            <w:r>
              <w:t>$1,000</w:t>
            </w:r>
          </w:p>
        </w:tc>
        <w:tc>
          <w:tcPr>
            <w:tcW w:w="511" w:type="dxa"/>
            <w:tcBorders>
              <w:top w:val="nil"/>
              <w:bottom w:val="nil"/>
              <w:right w:val="nil"/>
            </w:tcBorders>
          </w:tcPr>
          <w:p w14:paraId="1AAD9420" w14:textId="77777777" w:rsidR="009E5696" w:rsidRDefault="009E5696">
            <w:pPr>
              <w:spacing w:before="40" w:after="40"/>
            </w:pPr>
          </w:p>
        </w:tc>
      </w:tr>
      <w:tr w:rsidR="009E5696" w14:paraId="0C26C248" w14:textId="77777777">
        <w:tc>
          <w:tcPr>
            <w:tcW w:w="511" w:type="dxa"/>
            <w:tcBorders>
              <w:top w:val="nil"/>
              <w:left w:val="nil"/>
              <w:bottom w:val="nil"/>
            </w:tcBorders>
          </w:tcPr>
          <w:p w14:paraId="125C59DF" w14:textId="77777777" w:rsidR="009E5696" w:rsidRDefault="009E5696">
            <w:pPr>
              <w:spacing w:before="40" w:after="40"/>
            </w:pPr>
          </w:p>
        </w:tc>
        <w:tc>
          <w:tcPr>
            <w:tcW w:w="2402" w:type="dxa"/>
            <w:tcBorders>
              <w:top w:val="single" w:sz="8" w:space="0" w:color="auto"/>
              <w:left w:val="single" w:sz="8" w:space="0" w:color="auto"/>
              <w:bottom w:val="single" w:sz="8" w:space="0" w:color="auto"/>
              <w:right w:val="single" w:sz="8" w:space="0" w:color="auto"/>
            </w:tcBorders>
          </w:tcPr>
          <w:p w14:paraId="7BF08A1D" w14:textId="24EB1BE9" w:rsidR="009E5696" w:rsidRDefault="00273474">
            <w:pPr>
              <w:spacing w:before="40" w:after="40"/>
            </w:pPr>
            <w:r>
              <w:t>Threshold Settlement Amount</w:t>
            </w:r>
          </w:p>
        </w:tc>
        <w:tc>
          <w:tcPr>
            <w:tcW w:w="6798" w:type="dxa"/>
            <w:tcBorders>
              <w:top w:val="single" w:sz="8" w:space="0" w:color="auto"/>
              <w:left w:val="single" w:sz="8" w:space="0" w:color="auto"/>
              <w:bottom w:val="single" w:sz="8" w:space="0" w:color="auto"/>
              <w:right w:val="single" w:sz="8" w:space="0" w:color="auto"/>
            </w:tcBorders>
          </w:tcPr>
          <w:p w14:paraId="55EF6D06" w14:textId="77777777" w:rsidR="009E5696" w:rsidRDefault="00273474">
            <w:pPr>
              <w:spacing w:before="40" w:after="40"/>
              <w:jc w:val="right"/>
            </w:pPr>
            <w:r>
              <w:t>$1,111.60 per note</w:t>
            </w:r>
          </w:p>
        </w:tc>
        <w:tc>
          <w:tcPr>
            <w:tcW w:w="511" w:type="dxa"/>
            <w:tcBorders>
              <w:top w:val="nil"/>
              <w:bottom w:val="nil"/>
              <w:right w:val="nil"/>
            </w:tcBorders>
          </w:tcPr>
          <w:p w14:paraId="5D366DFF" w14:textId="77777777" w:rsidR="009E5696" w:rsidRDefault="009E5696">
            <w:pPr>
              <w:spacing w:before="40" w:after="40"/>
            </w:pPr>
          </w:p>
        </w:tc>
      </w:tr>
      <w:tr w:rsidR="009E5696" w14:paraId="48C0F522" w14:textId="77777777">
        <w:tc>
          <w:tcPr>
            <w:tcW w:w="511" w:type="dxa"/>
            <w:tcBorders>
              <w:top w:val="nil"/>
              <w:left w:val="nil"/>
              <w:bottom w:val="nil"/>
            </w:tcBorders>
          </w:tcPr>
          <w:p w14:paraId="45F7F42F" w14:textId="77777777" w:rsidR="009E5696" w:rsidRDefault="009E5696">
            <w:pPr>
              <w:spacing w:before="40" w:after="40"/>
            </w:pPr>
          </w:p>
        </w:tc>
        <w:tc>
          <w:tcPr>
            <w:tcW w:w="2402" w:type="dxa"/>
            <w:tcBorders>
              <w:top w:val="single" w:sz="8" w:space="0" w:color="auto"/>
              <w:left w:val="single" w:sz="8" w:space="0" w:color="auto"/>
              <w:bottom w:val="single" w:sz="8" w:space="0" w:color="auto"/>
              <w:right w:val="single" w:sz="8" w:space="0" w:color="auto"/>
            </w:tcBorders>
          </w:tcPr>
          <w:p w14:paraId="545F9979" w14:textId="77777777" w:rsidR="009E5696" w:rsidRDefault="00273474">
            <w:pPr>
              <w:spacing w:before="40" w:after="40"/>
            </w:pPr>
            <w:r>
              <w:t>Threshold Level</w:t>
            </w:r>
          </w:p>
        </w:tc>
        <w:tc>
          <w:tcPr>
            <w:tcW w:w="6798" w:type="dxa"/>
            <w:tcBorders>
              <w:top w:val="single" w:sz="8" w:space="0" w:color="auto"/>
              <w:left w:val="single" w:sz="8" w:space="0" w:color="auto"/>
              <w:bottom w:val="single" w:sz="8" w:space="0" w:color="auto"/>
              <w:right w:val="single" w:sz="8" w:space="0" w:color="auto"/>
            </w:tcBorders>
          </w:tcPr>
          <w:p w14:paraId="728F8E19" w14:textId="77777777" w:rsidR="009E5696" w:rsidRDefault="00273474">
            <w:pPr>
              <w:spacing w:before="40" w:after="40"/>
              <w:jc w:val="right"/>
            </w:pPr>
            <w:r>
              <w:t>90.00% of the Initial Underlier Level</w:t>
            </w:r>
          </w:p>
        </w:tc>
        <w:tc>
          <w:tcPr>
            <w:tcW w:w="511" w:type="dxa"/>
            <w:tcBorders>
              <w:top w:val="nil"/>
              <w:bottom w:val="nil"/>
              <w:right w:val="nil"/>
            </w:tcBorders>
          </w:tcPr>
          <w:p w14:paraId="084B3871" w14:textId="77777777" w:rsidR="009E5696" w:rsidRDefault="009E5696">
            <w:pPr>
              <w:spacing w:before="40" w:after="40"/>
            </w:pPr>
          </w:p>
        </w:tc>
      </w:tr>
      <w:tr w:rsidR="009E5696" w14:paraId="21FE36B9" w14:textId="77777777">
        <w:tc>
          <w:tcPr>
            <w:tcW w:w="511" w:type="dxa"/>
            <w:tcBorders>
              <w:top w:val="nil"/>
              <w:left w:val="nil"/>
              <w:bottom w:val="nil"/>
            </w:tcBorders>
          </w:tcPr>
          <w:p w14:paraId="2D88E807" w14:textId="77777777" w:rsidR="009E5696" w:rsidRDefault="009E5696">
            <w:pPr>
              <w:spacing w:before="40" w:after="40"/>
            </w:pPr>
          </w:p>
        </w:tc>
        <w:tc>
          <w:tcPr>
            <w:tcW w:w="2402" w:type="dxa"/>
            <w:tcBorders>
              <w:top w:val="single" w:sz="8" w:space="0" w:color="auto"/>
              <w:left w:val="single" w:sz="8" w:space="0" w:color="auto"/>
              <w:bottom w:val="single" w:sz="8" w:space="0" w:color="auto"/>
              <w:right w:val="single" w:sz="8" w:space="0" w:color="auto"/>
            </w:tcBorders>
          </w:tcPr>
          <w:p w14:paraId="783A23BD" w14:textId="77777777" w:rsidR="009E5696" w:rsidRDefault="00273474">
            <w:pPr>
              <w:spacing w:before="40" w:after="40"/>
            </w:pPr>
            <w:r>
              <w:t>Buffer Rate</w:t>
            </w:r>
          </w:p>
        </w:tc>
        <w:tc>
          <w:tcPr>
            <w:tcW w:w="6798" w:type="dxa"/>
            <w:tcBorders>
              <w:top w:val="single" w:sz="8" w:space="0" w:color="auto"/>
              <w:left w:val="single" w:sz="8" w:space="0" w:color="auto"/>
              <w:bottom w:val="single" w:sz="8" w:space="0" w:color="auto"/>
              <w:right w:val="single" w:sz="8" w:space="0" w:color="auto"/>
            </w:tcBorders>
          </w:tcPr>
          <w:p w14:paraId="697A09A3" w14:textId="77777777" w:rsidR="009E5696" w:rsidRDefault="00273474">
            <w:pPr>
              <w:spacing w:before="40" w:after="40"/>
              <w:jc w:val="right"/>
            </w:pPr>
            <w:r>
              <w:t>Approximately 111.111%</w:t>
            </w:r>
          </w:p>
        </w:tc>
        <w:tc>
          <w:tcPr>
            <w:tcW w:w="511" w:type="dxa"/>
            <w:tcBorders>
              <w:top w:val="nil"/>
              <w:bottom w:val="nil"/>
              <w:right w:val="nil"/>
            </w:tcBorders>
          </w:tcPr>
          <w:p w14:paraId="09D09559" w14:textId="77777777" w:rsidR="009E5696" w:rsidRDefault="009E5696">
            <w:pPr>
              <w:spacing w:before="40" w:after="40"/>
            </w:pPr>
          </w:p>
        </w:tc>
      </w:tr>
      <w:tr w:rsidR="009E5696" w14:paraId="1C4F28C5" w14:textId="77777777">
        <w:tc>
          <w:tcPr>
            <w:tcW w:w="511" w:type="dxa"/>
            <w:tcBorders>
              <w:top w:val="nil"/>
              <w:left w:val="nil"/>
              <w:bottom w:val="nil"/>
            </w:tcBorders>
          </w:tcPr>
          <w:p w14:paraId="3086244F" w14:textId="77777777" w:rsidR="009E5696" w:rsidRDefault="009E5696">
            <w:pPr>
              <w:spacing w:before="40" w:after="40"/>
            </w:pPr>
          </w:p>
        </w:tc>
        <w:tc>
          <w:tcPr>
            <w:tcW w:w="2402" w:type="dxa"/>
            <w:tcBorders>
              <w:top w:val="single" w:sz="8" w:space="0" w:color="auto"/>
              <w:left w:val="single" w:sz="8" w:space="0" w:color="auto"/>
              <w:bottom w:val="single" w:sz="8" w:space="0" w:color="auto"/>
              <w:right w:val="single" w:sz="8" w:space="0" w:color="auto"/>
            </w:tcBorders>
          </w:tcPr>
          <w:p w14:paraId="252BC105" w14:textId="77777777" w:rsidR="009E5696" w:rsidRDefault="00273474">
            <w:pPr>
              <w:spacing w:before="40" w:after="40"/>
            </w:pPr>
            <w:r>
              <w:t>Threshold Amount</w:t>
            </w:r>
          </w:p>
        </w:tc>
        <w:tc>
          <w:tcPr>
            <w:tcW w:w="6798" w:type="dxa"/>
            <w:tcBorders>
              <w:top w:val="single" w:sz="8" w:space="0" w:color="auto"/>
              <w:left w:val="single" w:sz="8" w:space="0" w:color="auto"/>
              <w:bottom w:val="single" w:sz="8" w:space="0" w:color="auto"/>
              <w:right w:val="single" w:sz="8" w:space="0" w:color="auto"/>
            </w:tcBorders>
          </w:tcPr>
          <w:p w14:paraId="1A9899E3" w14:textId="77777777" w:rsidR="009E5696" w:rsidRDefault="00273474">
            <w:pPr>
              <w:spacing w:before="40" w:after="40"/>
              <w:jc w:val="right"/>
            </w:pPr>
            <w:r>
              <w:t>10.00%</w:t>
            </w:r>
          </w:p>
        </w:tc>
        <w:tc>
          <w:tcPr>
            <w:tcW w:w="511" w:type="dxa"/>
            <w:tcBorders>
              <w:top w:val="nil"/>
              <w:bottom w:val="nil"/>
              <w:right w:val="nil"/>
            </w:tcBorders>
          </w:tcPr>
          <w:p w14:paraId="6B544E5D" w14:textId="77777777" w:rsidR="009E5696" w:rsidRDefault="009E5696">
            <w:pPr>
              <w:spacing w:before="40" w:after="40"/>
            </w:pPr>
          </w:p>
        </w:tc>
      </w:tr>
      <w:tr w:rsidR="009E5696" w14:paraId="0299738C" w14:textId="77777777">
        <w:tc>
          <w:tcPr>
            <w:tcW w:w="511" w:type="dxa"/>
            <w:tcBorders>
              <w:top w:val="nil"/>
              <w:left w:val="nil"/>
              <w:bottom w:val="nil"/>
            </w:tcBorders>
          </w:tcPr>
          <w:p w14:paraId="23DBBF19" w14:textId="77777777" w:rsidR="009E5696" w:rsidRDefault="009E5696">
            <w:pPr>
              <w:spacing w:before="40" w:after="40"/>
            </w:pPr>
          </w:p>
        </w:tc>
        <w:tc>
          <w:tcPr>
            <w:tcW w:w="9200" w:type="dxa"/>
            <w:gridSpan w:val="2"/>
            <w:tcBorders>
              <w:top w:val="single" w:sz="8" w:space="0" w:color="auto"/>
              <w:left w:val="single" w:sz="8" w:space="0" w:color="auto"/>
              <w:bottom w:val="nil"/>
              <w:right w:val="single" w:sz="8" w:space="0" w:color="auto"/>
            </w:tcBorders>
          </w:tcPr>
          <w:p w14:paraId="403ED808" w14:textId="77777777" w:rsidR="009E5696" w:rsidRDefault="00273474">
            <w:pPr>
              <w:spacing w:before="40" w:after="40"/>
            </w:pPr>
            <w:r>
              <w:t>Neither a Market Disruption Event nor a non-trading day occurs on the originally scheduled Determination Date, and the Underlier is not discontinued on or prior to such date</w:t>
            </w:r>
          </w:p>
        </w:tc>
        <w:tc>
          <w:tcPr>
            <w:tcW w:w="511" w:type="dxa"/>
            <w:tcBorders>
              <w:top w:val="nil"/>
              <w:bottom w:val="nil"/>
              <w:right w:val="nil"/>
            </w:tcBorders>
          </w:tcPr>
          <w:p w14:paraId="45F27C5A" w14:textId="77777777" w:rsidR="009E5696" w:rsidRDefault="009E5696">
            <w:pPr>
              <w:spacing w:before="40" w:after="40"/>
            </w:pPr>
          </w:p>
        </w:tc>
      </w:tr>
      <w:tr w:rsidR="009E5696" w14:paraId="47E4509B" w14:textId="77777777">
        <w:tc>
          <w:tcPr>
            <w:tcW w:w="511" w:type="dxa"/>
            <w:tcBorders>
              <w:top w:val="nil"/>
              <w:left w:val="nil"/>
              <w:bottom w:val="nil"/>
            </w:tcBorders>
          </w:tcPr>
          <w:p w14:paraId="53F27615" w14:textId="77777777" w:rsidR="009E5696" w:rsidRDefault="009E5696">
            <w:pPr>
              <w:spacing w:before="40" w:after="40"/>
            </w:pPr>
          </w:p>
        </w:tc>
        <w:tc>
          <w:tcPr>
            <w:tcW w:w="9200" w:type="dxa"/>
            <w:gridSpan w:val="2"/>
            <w:tcBorders>
              <w:top w:val="nil"/>
              <w:left w:val="single" w:sz="8" w:space="0" w:color="auto"/>
              <w:bottom w:val="nil"/>
              <w:right w:val="single" w:sz="8" w:space="0" w:color="auto"/>
            </w:tcBorders>
          </w:tcPr>
          <w:p w14:paraId="17A8F4A0" w14:textId="77777777" w:rsidR="009E5696" w:rsidRDefault="00273474">
            <w:pPr>
              <w:spacing w:before="40" w:after="40"/>
            </w:pPr>
            <w:r>
              <w:t>No change in or affecting any of the stocks included in the Underlier (the “Underlier Stocks”) or the method by which the Underlier Sponsor calculates the Underlier</w:t>
            </w:r>
          </w:p>
        </w:tc>
        <w:tc>
          <w:tcPr>
            <w:tcW w:w="511" w:type="dxa"/>
            <w:tcBorders>
              <w:top w:val="nil"/>
              <w:bottom w:val="nil"/>
              <w:right w:val="nil"/>
            </w:tcBorders>
          </w:tcPr>
          <w:p w14:paraId="47BD654F" w14:textId="77777777" w:rsidR="009E5696" w:rsidRDefault="009E5696">
            <w:pPr>
              <w:spacing w:before="40" w:after="40"/>
            </w:pPr>
          </w:p>
        </w:tc>
      </w:tr>
      <w:tr w:rsidR="009E5696" w14:paraId="414854F9" w14:textId="77777777">
        <w:tc>
          <w:tcPr>
            <w:tcW w:w="511" w:type="dxa"/>
            <w:tcBorders>
              <w:top w:val="nil"/>
              <w:left w:val="nil"/>
              <w:bottom w:val="nil"/>
            </w:tcBorders>
          </w:tcPr>
          <w:p w14:paraId="1CF51A09" w14:textId="77777777" w:rsidR="009E5696" w:rsidRDefault="009E5696">
            <w:pPr>
              <w:spacing w:before="40" w:after="40"/>
            </w:pPr>
          </w:p>
        </w:tc>
        <w:tc>
          <w:tcPr>
            <w:tcW w:w="9200" w:type="dxa"/>
            <w:gridSpan w:val="2"/>
            <w:tcBorders>
              <w:top w:val="nil"/>
              <w:left w:val="single" w:sz="8" w:space="0" w:color="auto"/>
              <w:bottom w:val="single" w:sz="8" w:space="0" w:color="auto"/>
              <w:right w:val="single" w:sz="8" w:space="0" w:color="auto"/>
            </w:tcBorders>
          </w:tcPr>
          <w:p w14:paraId="01F488F1" w14:textId="77777777" w:rsidR="009E5696" w:rsidRDefault="00273474">
            <w:pPr>
              <w:spacing w:before="40" w:after="40"/>
            </w:pPr>
            <w:r>
              <w:t>Notes purchased on original issue date at the face amount and held to the stated maturity date</w:t>
            </w:r>
          </w:p>
        </w:tc>
        <w:tc>
          <w:tcPr>
            <w:tcW w:w="511" w:type="dxa"/>
            <w:tcBorders>
              <w:top w:val="nil"/>
              <w:bottom w:val="nil"/>
              <w:right w:val="nil"/>
            </w:tcBorders>
          </w:tcPr>
          <w:p w14:paraId="1D362579" w14:textId="77777777" w:rsidR="009E5696" w:rsidRDefault="009E5696">
            <w:pPr>
              <w:spacing w:before="40" w:after="40"/>
            </w:pPr>
          </w:p>
        </w:tc>
      </w:tr>
    </w:tbl>
    <w:p w14:paraId="0EF09FEA" w14:textId="77777777" w:rsidR="009E5696" w:rsidRDefault="00273474">
      <w:pPr>
        <w:pStyle w:val="BofaPara"/>
        <w:spacing w:line="200" w:lineRule="atLeast"/>
      </w:pPr>
      <w:r>
        <w:rPr>
          <w:rFonts w:eastAsia="Arial"/>
        </w:rPr>
        <w:t>For these reasons, the actual performance of the Underlier over the life of your notes, as well as the amount payable at maturity, if any, may bear little relation to the hypothetical examples shown below or to the historical levels of the Underlier shown elsewhere in this pricing supplement. For information about the historical levels of the Underlier during recent periods, see “The Underlier — Historical Closing Levels of the Underlier” below. Before investing in the offered notes, you should consult publicly available information to determine the levels of the Underlier between the date of this pricing supplement and the date of your purchase of the offered notes.</w:t>
      </w:r>
    </w:p>
    <w:p w14:paraId="4033841D" w14:textId="77777777" w:rsidR="009E5696" w:rsidRDefault="00273474">
      <w:pPr>
        <w:pStyle w:val="BofaPara"/>
        <w:spacing w:line="200" w:lineRule="atLeast"/>
      </w:pPr>
      <w:r>
        <w:rPr>
          <w:rFonts w:eastAsia="Arial"/>
        </w:rPr>
        <w:t>Also, the hypothetical examples shown below do not take into account the effects of applicable taxes. Because of the U.S. tax treatment applicable to your notes, tax liabilities could affect the after-tax rate of return on your notes to a comparatively greater extent than the after-tax return on the Underlier Stocks.</w:t>
      </w:r>
    </w:p>
    <w:p w14:paraId="1360178B" w14:textId="77777777" w:rsidR="009E5696" w:rsidRDefault="00273474">
      <w:pPr>
        <w:pStyle w:val="BofaPara"/>
        <w:spacing w:line="200" w:lineRule="atLeast"/>
      </w:pPr>
      <w:r>
        <w:rPr>
          <w:rFonts w:eastAsia="Arial"/>
        </w:rPr>
        <w:t>The levels in the left column of the table below represent hypothetical Final Underlier Levels and are expressed as percentages of the Initial Underlier Level. The amounts in the right column represent the hypothetical Cash Settlement Amounts, based on the corresponding hypothetical Final Underlier Level, and are expressed as percentages of the face amount of a note (rounded to the nearest one-thousandth of a percent). Thus, a hypothetical Cash Settlement Amount of 100.000% means that the value of the cash payment that we would deliver for each $1,000 of the outstanding face amount of the offered notes on the stated maturity date would equal 100.000% of the face amount of a note, based on the corresponding hypothetical Final Underlier Level and the assumptions noted above.</w:t>
      </w:r>
    </w:p>
    <w:tbl>
      <w:tblPr>
        <w:tblW w:w="0" w:type="auto"/>
        <w:tblLook w:val="04A0" w:firstRow="1" w:lastRow="0" w:firstColumn="1" w:lastColumn="0" w:noHBand="0" w:noVBand="1"/>
      </w:tblPr>
      <w:tblGrid>
        <w:gridCol w:w="1010"/>
        <w:gridCol w:w="4052"/>
        <w:gridCol w:w="4052"/>
        <w:gridCol w:w="1011"/>
      </w:tblGrid>
      <w:tr w:rsidR="009E5696" w14:paraId="5FB63C67" w14:textId="77777777">
        <w:tc>
          <w:tcPr>
            <w:tcW w:w="1022" w:type="dxa"/>
          </w:tcPr>
          <w:p w14:paraId="6873DC27" w14:textId="77777777" w:rsidR="009E5696" w:rsidRDefault="009E5696">
            <w:pPr>
              <w:keepLines/>
              <w:spacing w:before="20" w:after="20"/>
            </w:pPr>
          </w:p>
        </w:tc>
        <w:tc>
          <w:tcPr>
            <w:tcW w:w="4089" w:type="dxa"/>
            <w:tcBorders>
              <w:bottom w:val="single" w:sz="8" w:space="0" w:color="auto"/>
            </w:tcBorders>
          </w:tcPr>
          <w:p w14:paraId="3FD1A7E6" w14:textId="77777777" w:rsidR="009E5696" w:rsidRDefault="00273474">
            <w:pPr>
              <w:keepLines/>
              <w:spacing w:before="20" w:after="20"/>
              <w:jc w:val="center"/>
            </w:pPr>
            <w:r>
              <w:rPr>
                <w:b/>
              </w:rPr>
              <w:t>Hypothetical Final Underlier Level (as Percentage of Initial Underlier Level)</w:t>
            </w:r>
          </w:p>
        </w:tc>
        <w:tc>
          <w:tcPr>
            <w:tcW w:w="4089" w:type="dxa"/>
            <w:tcBorders>
              <w:bottom w:val="single" w:sz="8" w:space="0" w:color="auto"/>
            </w:tcBorders>
          </w:tcPr>
          <w:p w14:paraId="6922F353" w14:textId="77777777" w:rsidR="009E5696" w:rsidRDefault="00273474">
            <w:pPr>
              <w:keepLines/>
              <w:spacing w:before="20" w:after="20"/>
              <w:jc w:val="center"/>
            </w:pPr>
            <w:r>
              <w:rPr>
                <w:b/>
              </w:rPr>
              <w:t>Hypothetical Cash Settlement Amount (as Percentage of Face Amount)</w:t>
            </w:r>
          </w:p>
        </w:tc>
        <w:tc>
          <w:tcPr>
            <w:tcW w:w="1022" w:type="dxa"/>
          </w:tcPr>
          <w:p w14:paraId="7CDDB002" w14:textId="77777777" w:rsidR="009E5696" w:rsidRDefault="009E5696">
            <w:pPr>
              <w:keepLines/>
              <w:spacing w:before="20" w:after="20"/>
            </w:pPr>
          </w:p>
        </w:tc>
      </w:tr>
      <w:tr w:rsidR="009E5696" w14:paraId="075624C8" w14:textId="77777777">
        <w:tc>
          <w:tcPr>
            <w:tcW w:w="1022" w:type="dxa"/>
          </w:tcPr>
          <w:p w14:paraId="6D382909" w14:textId="77777777" w:rsidR="009E5696" w:rsidRDefault="009E5696">
            <w:pPr>
              <w:keepLines/>
              <w:spacing w:before="20" w:after="20"/>
              <w:jc w:val="center"/>
            </w:pPr>
          </w:p>
        </w:tc>
        <w:tc>
          <w:tcPr>
            <w:tcW w:w="4089" w:type="dxa"/>
          </w:tcPr>
          <w:p w14:paraId="1E8B3482" w14:textId="77777777" w:rsidR="009E5696" w:rsidRDefault="00273474">
            <w:pPr>
              <w:keepLines/>
              <w:spacing w:before="20" w:after="20"/>
              <w:jc w:val="center"/>
            </w:pPr>
            <w:r>
              <w:t>150.000%</w:t>
            </w:r>
          </w:p>
        </w:tc>
        <w:tc>
          <w:tcPr>
            <w:tcW w:w="4089" w:type="dxa"/>
          </w:tcPr>
          <w:p w14:paraId="5D6A2AFA" w14:textId="77777777" w:rsidR="009E5696" w:rsidRDefault="00273474">
            <w:pPr>
              <w:keepLines/>
              <w:spacing w:before="20" w:after="20"/>
              <w:jc w:val="center"/>
            </w:pPr>
            <w:r>
              <w:t>111.160%</w:t>
            </w:r>
          </w:p>
        </w:tc>
        <w:tc>
          <w:tcPr>
            <w:tcW w:w="1022" w:type="dxa"/>
          </w:tcPr>
          <w:p w14:paraId="4CFFAB29" w14:textId="77777777" w:rsidR="009E5696" w:rsidRDefault="009E5696">
            <w:pPr>
              <w:keepLines/>
              <w:spacing w:before="20" w:after="20"/>
              <w:jc w:val="center"/>
            </w:pPr>
          </w:p>
        </w:tc>
      </w:tr>
      <w:tr w:rsidR="009E5696" w14:paraId="6D401D41" w14:textId="77777777">
        <w:tc>
          <w:tcPr>
            <w:tcW w:w="1022" w:type="dxa"/>
          </w:tcPr>
          <w:p w14:paraId="0ECDBAD1" w14:textId="77777777" w:rsidR="009E5696" w:rsidRDefault="009E5696">
            <w:pPr>
              <w:keepLines/>
              <w:spacing w:before="20" w:after="20"/>
              <w:jc w:val="center"/>
            </w:pPr>
          </w:p>
        </w:tc>
        <w:tc>
          <w:tcPr>
            <w:tcW w:w="4089" w:type="dxa"/>
          </w:tcPr>
          <w:p w14:paraId="05849336" w14:textId="77777777" w:rsidR="009E5696" w:rsidRDefault="00273474">
            <w:pPr>
              <w:keepLines/>
              <w:spacing w:before="20" w:after="20"/>
              <w:jc w:val="center"/>
            </w:pPr>
            <w:r>
              <w:t>140.000%</w:t>
            </w:r>
          </w:p>
        </w:tc>
        <w:tc>
          <w:tcPr>
            <w:tcW w:w="4089" w:type="dxa"/>
          </w:tcPr>
          <w:p w14:paraId="4A102355" w14:textId="77777777" w:rsidR="009E5696" w:rsidRDefault="00273474">
            <w:pPr>
              <w:keepLines/>
              <w:spacing w:before="20" w:after="20"/>
              <w:jc w:val="center"/>
            </w:pPr>
            <w:r>
              <w:t>111.160%</w:t>
            </w:r>
          </w:p>
        </w:tc>
        <w:tc>
          <w:tcPr>
            <w:tcW w:w="1022" w:type="dxa"/>
          </w:tcPr>
          <w:p w14:paraId="68284DDE" w14:textId="77777777" w:rsidR="009E5696" w:rsidRDefault="009E5696">
            <w:pPr>
              <w:keepLines/>
              <w:spacing w:before="20" w:after="20"/>
              <w:jc w:val="center"/>
            </w:pPr>
          </w:p>
        </w:tc>
      </w:tr>
      <w:tr w:rsidR="009E5696" w14:paraId="10F5EFBB" w14:textId="77777777">
        <w:tc>
          <w:tcPr>
            <w:tcW w:w="1022" w:type="dxa"/>
          </w:tcPr>
          <w:p w14:paraId="4FAF3E20" w14:textId="77777777" w:rsidR="009E5696" w:rsidRDefault="009E5696">
            <w:pPr>
              <w:keepLines/>
              <w:spacing w:before="20" w:after="20"/>
              <w:jc w:val="center"/>
            </w:pPr>
          </w:p>
        </w:tc>
        <w:tc>
          <w:tcPr>
            <w:tcW w:w="4089" w:type="dxa"/>
          </w:tcPr>
          <w:p w14:paraId="10EF20AD" w14:textId="77777777" w:rsidR="009E5696" w:rsidRDefault="00273474">
            <w:pPr>
              <w:keepLines/>
              <w:spacing w:before="20" w:after="20"/>
              <w:jc w:val="center"/>
            </w:pPr>
            <w:r>
              <w:t>130.000%</w:t>
            </w:r>
          </w:p>
        </w:tc>
        <w:tc>
          <w:tcPr>
            <w:tcW w:w="4089" w:type="dxa"/>
          </w:tcPr>
          <w:p w14:paraId="40C55887" w14:textId="77777777" w:rsidR="009E5696" w:rsidRDefault="00273474">
            <w:pPr>
              <w:keepLines/>
              <w:spacing w:before="20" w:after="20"/>
              <w:jc w:val="center"/>
            </w:pPr>
            <w:r>
              <w:t>111.160%</w:t>
            </w:r>
          </w:p>
        </w:tc>
        <w:tc>
          <w:tcPr>
            <w:tcW w:w="1022" w:type="dxa"/>
          </w:tcPr>
          <w:p w14:paraId="6DE1F80D" w14:textId="77777777" w:rsidR="009E5696" w:rsidRDefault="009E5696">
            <w:pPr>
              <w:keepLines/>
              <w:spacing w:before="20" w:after="20"/>
              <w:jc w:val="center"/>
            </w:pPr>
          </w:p>
        </w:tc>
      </w:tr>
      <w:tr w:rsidR="009E5696" w14:paraId="323F3F61" w14:textId="77777777">
        <w:tc>
          <w:tcPr>
            <w:tcW w:w="1022" w:type="dxa"/>
          </w:tcPr>
          <w:p w14:paraId="45FA86B7" w14:textId="77777777" w:rsidR="009E5696" w:rsidRDefault="009E5696">
            <w:pPr>
              <w:keepLines/>
              <w:spacing w:before="20" w:after="20"/>
              <w:jc w:val="center"/>
            </w:pPr>
          </w:p>
        </w:tc>
        <w:tc>
          <w:tcPr>
            <w:tcW w:w="4089" w:type="dxa"/>
          </w:tcPr>
          <w:p w14:paraId="370EF3A5" w14:textId="77777777" w:rsidR="009E5696" w:rsidRDefault="00273474">
            <w:pPr>
              <w:keepLines/>
              <w:spacing w:before="20" w:after="20"/>
              <w:jc w:val="center"/>
            </w:pPr>
            <w:r>
              <w:t>120.000%</w:t>
            </w:r>
          </w:p>
        </w:tc>
        <w:tc>
          <w:tcPr>
            <w:tcW w:w="4089" w:type="dxa"/>
          </w:tcPr>
          <w:p w14:paraId="53A5E0A0" w14:textId="77777777" w:rsidR="009E5696" w:rsidRDefault="00273474">
            <w:pPr>
              <w:keepLines/>
              <w:spacing w:before="20" w:after="20"/>
              <w:jc w:val="center"/>
            </w:pPr>
            <w:r>
              <w:t>111.160%</w:t>
            </w:r>
          </w:p>
        </w:tc>
        <w:tc>
          <w:tcPr>
            <w:tcW w:w="1022" w:type="dxa"/>
          </w:tcPr>
          <w:p w14:paraId="1DA7323E" w14:textId="77777777" w:rsidR="009E5696" w:rsidRDefault="009E5696">
            <w:pPr>
              <w:keepLines/>
              <w:spacing w:before="20" w:after="20"/>
              <w:jc w:val="center"/>
            </w:pPr>
          </w:p>
        </w:tc>
      </w:tr>
      <w:tr w:rsidR="009E5696" w14:paraId="2FD587D1" w14:textId="77777777">
        <w:tc>
          <w:tcPr>
            <w:tcW w:w="1022" w:type="dxa"/>
          </w:tcPr>
          <w:p w14:paraId="3F6F3153" w14:textId="77777777" w:rsidR="009E5696" w:rsidRDefault="009E5696">
            <w:pPr>
              <w:keepLines/>
              <w:spacing w:before="20" w:after="20"/>
              <w:jc w:val="center"/>
            </w:pPr>
          </w:p>
        </w:tc>
        <w:tc>
          <w:tcPr>
            <w:tcW w:w="4089" w:type="dxa"/>
            <w:shd w:val="clear" w:color="auto" w:fill="BFBFBF"/>
          </w:tcPr>
          <w:p w14:paraId="27C402C3" w14:textId="77777777" w:rsidR="009E5696" w:rsidRDefault="00273474">
            <w:pPr>
              <w:keepLines/>
              <w:spacing w:before="20" w:after="20"/>
              <w:jc w:val="center"/>
            </w:pPr>
            <w:r>
              <w:rPr>
                <w:b/>
              </w:rPr>
              <w:t>111.160%</w:t>
            </w:r>
          </w:p>
        </w:tc>
        <w:tc>
          <w:tcPr>
            <w:tcW w:w="4089" w:type="dxa"/>
            <w:shd w:val="clear" w:color="auto" w:fill="BFBFBF"/>
          </w:tcPr>
          <w:p w14:paraId="25AAC2DD" w14:textId="77777777" w:rsidR="009E5696" w:rsidRDefault="00273474">
            <w:pPr>
              <w:keepLines/>
              <w:spacing w:before="20" w:after="20"/>
              <w:jc w:val="center"/>
            </w:pPr>
            <w:r>
              <w:rPr>
                <w:b/>
              </w:rPr>
              <w:t>111.160%</w:t>
            </w:r>
          </w:p>
        </w:tc>
        <w:tc>
          <w:tcPr>
            <w:tcW w:w="1022" w:type="dxa"/>
          </w:tcPr>
          <w:p w14:paraId="230271D4" w14:textId="77777777" w:rsidR="009E5696" w:rsidRDefault="009E5696">
            <w:pPr>
              <w:keepLines/>
              <w:spacing w:before="20" w:after="20"/>
              <w:jc w:val="center"/>
            </w:pPr>
          </w:p>
        </w:tc>
      </w:tr>
      <w:tr w:rsidR="009E5696" w14:paraId="721A0C9F" w14:textId="77777777">
        <w:tc>
          <w:tcPr>
            <w:tcW w:w="1022" w:type="dxa"/>
          </w:tcPr>
          <w:p w14:paraId="2DC82070" w14:textId="77777777" w:rsidR="009E5696" w:rsidRDefault="009E5696">
            <w:pPr>
              <w:keepLines/>
              <w:spacing w:before="20" w:after="20"/>
              <w:jc w:val="center"/>
            </w:pPr>
          </w:p>
        </w:tc>
        <w:tc>
          <w:tcPr>
            <w:tcW w:w="4089" w:type="dxa"/>
          </w:tcPr>
          <w:p w14:paraId="71913569" w14:textId="77777777" w:rsidR="009E5696" w:rsidRDefault="00273474">
            <w:pPr>
              <w:keepLines/>
              <w:spacing w:before="20" w:after="20"/>
              <w:jc w:val="center"/>
            </w:pPr>
            <w:r>
              <w:t>105.000%</w:t>
            </w:r>
          </w:p>
        </w:tc>
        <w:tc>
          <w:tcPr>
            <w:tcW w:w="4089" w:type="dxa"/>
          </w:tcPr>
          <w:p w14:paraId="6ABAFD58" w14:textId="77777777" w:rsidR="009E5696" w:rsidRDefault="00273474">
            <w:pPr>
              <w:keepLines/>
              <w:spacing w:before="20" w:after="20"/>
              <w:jc w:val="center"/>
            </w:pPr>
            <w:r>
              <w:t>111.160%</w:t>
            </w:r>
          </w:p>
        </w:tc>
        <w:tc>
          <w:tcPr>
            <w:tcW w:w="1022" w:type="dxa"/>
          </w:tcPr>
          <w:p w14:paraId="22961115" w14:textId="77777777" w:rsidR="009E5696" w:rsidRDefault="009E5696">
            <w:pPr>
              <w:keepLines/>
              <w:spacing w:before="20" w:after="20"/>
              <w:jc w:val="center"/>
            </w:pPr>
          </w:p>
        </w:tc>
      </w:tr>
      <w:tr w:rsidR="009E5696" w14:paraId="299CE6F5" w14:textId="77777777">
        <w:tc>
          <w:tcPr>
            <w:tcW w:w="1022" w:type="dxa"/>
          </w:tcPr>
          <w:p w14:paraId="6C63203A" w14:textId="77777777" w:rsidR="009E5696" w:rsidRDefault="009E5696">
            <w:pPr>
              <w:keepLines/>
              <w:spacing w:before="20" w:after="20"/>
              <w:jc w:val="center"/>
            </w:pPr>
          </w:p>
        </w:tc>
        <w:tc>
          <w:tcPr>
            <w:tcW w:w="4089" w:type="dxa"/>
          </w:tcPr>
          <w:p w14:paraId="31D843A3" w14:textId="77777777" w:rsidR="009E5696" w:rsidRDefault="00273474">
            <w:pPr>
              <w:keepLines/>
              <w:spacing w:before="20" w:after="20"/>
              <w:jc w:val="center"/>
            </w:pPr>
            <w:r>
              <w:t>104.000%</w:t>
            </w:r>
          </w:p>
        </w:tc>
        <w:tc>
          <w:tcPr>
            <w:tcW w:w="4089" w:type="dxa"/>
          </w:tcPr>
          <w:p w14:paraId="50A793B7" w14:textId="77777777" w:rsidR="009E5696" w:rsidRDefault="00273474">
            <w:pPr>
              <w:keepLines/>
              <w:spacing w:before="20" w:after="20"/>
              <w:jc w:val="center"/>
            </w:pPr>
            <w:r>
              <w:t>111.160%</w:t>
            </w:r>
          </w:p>
        </w:tc>
        <w:tc>
          <w:tcPr>
            <w:tcW w:w="1022" w:type="dxa"/>
          </w:tcPr>
          <w:p w14:paraId="47DAA29B" w14:textId="77777777" w:rsidR="009E5696" w:rsidRDefault="009E5696">
            <w:pPr>
              <w:keepLines/>
              <w:spacing w:before="20" w:after="20"/>
              <w:jc w:val="center"/>
            </w:pPr>
          </w:p>
        </w:tc>
      </w:tr>
      <w:tr w:rsidR="009E5696" w14:paraId="03789756" w14:textId="77777777">
        <w:tc>
          <w:tcPr>
            <w:tcW w:w="1022" w:type="dxa"/>
          </w:tcPr>
          <w:p w14:paraId="035505E5" w14:textId="77777777" w:rsidR="009E5696" w:rsidRDefault="009E5696">
            <w:pPr>
              <w:keepLines/>
              <w:spacing w:before="20" w:after="20"/>
              <w:jc w:val="center"/>
            </w:pPr>
          </w:p>
        </w:tc>
        <w:tc>
          <w:tcPr>
            <w:tcW w:w="4089" w:type="dxa"/>
          </w:tcPr>
          <w:p w14:paraId="6FCFE134" w14:textId="77777777" w:rsidR="009E5696" w:rsidRDefault="00273474">
            <w:pPr>
              <w:keepLines/>
              <w:spacing w:before="20" w:after="20"/>
              <w:jc w:val="center"/>
            </w:pPr>
            <w:r>
              <w:t>102.000%</w:t>
            </w:r>
          </w:p>
        </w:tc>
        <w:tc>
          <w:tcPr>
            <w:tcW w:w="4089" w:type="dxa"/>
          </w:tcPr>
          <w:p w14:paraId="14FF7EE2" w14:textId="77777777" w:rsidR="009E5696" w:rsidRDefault="00273474">
            <w:pPr>
              <w:keepLines/>
              <w:spacing w:before="20" w:after="20"/>
              <w:jc w:val="center"/>
            </w:pPr>
            <w:r>
              <w:t>111.160%</w:t>
            </w:r>
          </w:p>
        </w:tc>
        <w:tc>
          <w:tcPr>
            <w:tcW w:w="1022" w:type="dxa"/>
          </w:tcPr>
          <w:p w14:paraId="28B35961" w14:textId="77777777" w:rsidR="009E5696" w:rsidRDefault="009E5696">
            <w:pPr>
              <w:keepLines/>
              <w:spacing w:before="20" w:after="20"/>
              <w:jc w:val="center"/>
            </w:pPr>
          </w:p>
        </w:tc>
      </w:tr>
      <w:tr w:rsidR="009E5696" w14:paraId="5654D968" w14:textId="77777777">
        <w:tc>
          <w:tcPr>
            <w:tcW w:w="1022" w:type="dxa"/>
          </w:tcPr>
          <w:p w14:paraId="44528174" w14:textId="77777777" w:rsidR="009E5696" w:rsidRDefault="009E5696">
            <w:pPr>
              <w:keepLines/>
              <w:spacing w:before="20" w:after="20"/>
              <w:jc w:val="center"/>
            </w:pPr>
          </w:p>
        </w:tc>
        <w:tc>
          <w:tcPr>
            <w:tcW w:w="4089" w:type="dxa"/>
            <w:shd w:val="clear" w:color="auto" w:fill="BFBFBF"/>
          </w:tcPr>
          <w:p w14:paraId="2C3D165C" w14:textId="77777777" w:rsidR="009E5696" w:rsidRDefault="00273474">
            <w:pPr>
              <w:keepLines/>
              <w:spacing w:before="20" w:after="20"/>
              <w:jc w:val="center"/>
            </w:pPr>
            <w:r>
              <w:rPr>
                <w:b/>
              </w:rPr>
              <w:t>100.000%</w:t>
            </w:r>
          </w:p>
        </w:tc>
        <w:tc>
          <w:tcPr>
            <w:tcW w:w="4089" w:type="dxa"/>
            <w:shd w:val="clear" w:color="auto" w:fill="BFBFBF"/>
          </w:tcPr>
          <w:p w14:paraId="3E8F8B62" w14:textId="77777777" w:rsidR="009E5696" w:rsidRDefault="00273474">
            <w:pPr>
              <w:keepLines/>
              <w:spacing w:before="20" w:after="20"/>
              <w:jc w:val="center"/>
            </w:pPr>
            <w:r>
              <w:rPr>
                <w:b/>
              </w:rPr>
              <w:t>111.160%</w:t>
            </w:r>
          </w:p>
        </w:tc>
        <w:tc>
          <w:tcPr>
            <w:tcW w:w="1022" w:type="dxa"/>
          </w:tcPr>
          <w:p w14:paraId="23E2FEC7" w14:textId="77777777" w:rsidR="009E5696" w:rsidRDefault="009E5696">
            <w:pPr>
              <w:keepLines/>
              <w:spacing w:before="20" w:after="20"/>
              <w:jc w:val="center"/>
            </w:pPr>
          </w:p>
        </w:tc>
      </w:tr>
      <w:tr w:rsidR="009E5696" w14:paraId="0D20971A" w14:textId="77777777">
        <w:tc>
          <w:tcPr>
            <w:tcW w:w="1022" w:type="dxa"/>
          </w:tcPr>
          <w:p w14:paraId="10253EB4" w14:textId="77777777" w:rsidR="009E5696" w:rsidRDefault="009E5696">
            <w:pPr>
              <w:keepLines/>
              <w:spacing w:before="20" w:after="20"/>
              <w:jc w:val="center"/>
            </w:pPr>
          </w:p>
        </w:tc>
        <w:tc>
          <w:tcPr>
            <w:tcW w:w="4089" w:type="dxa"/>
          </w:tcPr>
          <w:p w14:paraId="7FE343A6" w14:textId="77777777" w:rsidR="009E5696" w:rsidRDefault="00273474">
            <w:pPr>
              <w:keepLines/>
              <w:spacing w:before="20" w:after="20"/>
              <w:jc w:val="center"/>
            </w:pPr>
            <w:r>
              <w:t>96.000%</w:t>
            </w:r>
          </w:p>
        </w:tc>
        <w:tc>
          <w:tcPr>
            <w:tcW w:w="4089" w:type="dxa"/>
          </w:tcPr>
          <w:p w14:paraId="4CA7235A" w14:textId="77777777" w:rsidR="009E5696" w:rsidRDefault="00273474">
            <w:pPr>
              <w:keepLines/>
              <w:spacing w:before="20" w:after="20"/>
              <w:jc w:val="center"/>
            </w:pPr>
            <w:r>
              <w:t>111.160%</w:t>
            </w:r>
          </w:p>
        </w:tc>
        <w:tc>
          <w:tcPr>
            <w:tcW w:w="1022" w:type="dxa"/>
          </w:tcPr>
          <w:p w14:paraId="43040AD6" w14:textId="77777777" w:rsidR="009E5696" w:rsidRDefault="009E5696">
            <w:pPr>
              <w:keepLines/>
              <w:spacing w:before="20" w:after="20"/>
              <w:jc w:val="center"/>
            </w:pPr>
          </w:p>
        </w:tc>
      </w:tr>
      <w:tr w:rsidR="009E5696" w14:paraId="677C84EF" w14:textId="77777777">
        <w:tc>
          <w:tcPr>
            <w:tcW w:w="1022" w:type="dxa"/>
          </w:tcPr>
          <w:p w14:paraId="36516E61" w14:textId="77777777" w:rsidR="009E5696" w:rsidRDefault="009E5696">
            <w:pPr>
              <w:keepLines/>
              <w:spacing w:before="20" w:after="20"/>
              <w:jc w:val="center"/>
            </w:pPr>
          </w:p>
        </w:tc>
        <w:tc>
          <w:tcPr>
            <w:tcW w:w="4089" w:type="dxa"/>
            <w:shd w:val="clear" w:color="auto" w:fill="BFBFBF"/>
          </w:tcPr>
          <w:p w14:paraId="6D043FF9" w14:textId="77777777" w:rsidR="009E5696" w:rsidRDefault="00273474">
            <w:pPr>
              <w:keepLines/>
              <w:spacing w:before="20" w:after="20"/>
              <w:jc w:val="center"/>
            </w:pPr>
            <w:r>
              <w:rPr>
                <w:b/>
              </w:rPr>
              <w:t>90.000%</w:t>
            </w:r>
          </w:p>
        </w:tc>
        <w:tc>
          <w:tcPr>
            <w:tcW w:w="4089" w:type="dxa"/>
            <w:shd w:val="clear" w:color="auto" w:fill="BFBFBF"/>
          </w:tcPr>
          <w:p w14:paraId="57173143" w14:textId="77777777" w:rsidR="009E5696" w:rsidRDefault="00273474">
            <w:pPr>
              <w:keepLines/>
              <w:spacing w:before="20" w:after="20"/>
              <w:jc w:val="center"/>
            </w:pPr>
            <w:r>
              <w:rPr>
                <w:b/>
              </w:rPr>
              <w:t>111.160%</w:t>
            </w:r>
          </w:p>
        </w:tc>
        <w:tc>
          <w:tcPr>
            <w:tcW w:w="1022" w:type="dxa"/>
          </w:tcPr>
          <w:p w14:paraId="2FC9B048" w14:textId="77777777" w:rsidR="009E5696" w:rsidRDefault="009E5696">
            <w:pPr>
              <w:keepLines/>
              <w:spacing w:before="20" w:after="20"/>
              <w:jc w:val="center"/>
            </w:pPr>
          </w:p>
        </w:tc>
      </w:tr>
      <w:tr w:rsidR="009E5696" w14:paraId="2667B3E3" w14:textId="77777777">
        <w:tc>
          <w:tcPr>
            <w:tcW w:w="1022" w:type="dxa"/>
          </w:tcPr>
          <w:p w14:paraId="2F04A94E" w14:textId="77777777" w:rsidR="009E5696" w:rsidRDefault="009E5696">
            <w:pPr>
              <w:keepLines/>
              <w:spacing w:before="20" w:after="20"/>
              <w:jc w:val="center"/>
            </w:pPr>
          </w:p>
        </w:tc>
        <w:tc>
          <w:tcPr>
            <w:tcW w:w="4089" w:type="dxa"/>
          </w:tcPr>
          <w:p w14:paraId="60DFDF10" w14:textId="77777777" w:rsidR="009E5696" w:rsidRDefault="00273474">
            <w:pPr>
              <w:keepLines/>
              <w:spacing w:before="20" w:after="20"/>
              <w:jc w:val="center"/>
            </w:pPr>
            <w:r>
              <w:t>89.000%</w:t>
            </w:r>
          </w:p>
        </w:tc>
        <w:tc>
          <w:tcPr>
            <w:tcW w:w="4089" w:type="dxa"/>
          </w:tcPr>
          <w:p w14:paraId="077D5ED4" w14:textId="77777777" w:rsidR="009E5696" w:rsidRDefault="00273474">
            <w:pPr>
              <w:keepLines/>
              <w:spacing w:before="20" w:after="20"/>
              <w:jc w:val="center"/>
            </w:pPr>
            <w:r>
              <w:t>98.889%</w:t>
            </w:r>
          </w:p>
        </w:tc>
        <w:tc>
          <w:tcPr>
            <w:tcW w:w="1022" w:type="dxa"/>
          </w:tcPr>
          <w:p w14:paraId="6FABA1B6" w14:textId="77777777" w:rsidR="009E5696" w:rsidRDefault="009E5696">
            <w:pPr>
              <w:keepLines/>
              <w:spacing w:before="20" w:after="20"/>
              <w:jc w:val="center"/>
            </w:pPr>
          </w:p>
        </w:tc>
      </w:tr>
      <w:tr w:rsidR="009E5696" w14:paraId="76EF008F" w14:textId="77777777">
        <w:tc>
          <w:tcPr>
            <w:tcW w:w="1022" w:type="dxa"/>
          </w:tcPr>
          <w:p w14:paraId="736CCD2D" w14:textId="77777777" w:rsidR="009E5696" w:rsidRDefault="009E5696">
            <w:pPr>
              <w:keepLines/>
              <w:spacing w:before="20" w:after="20"/>
              <w:jc w:val="center"/>
            </w:pPr>
          </w:p>
        </w:tc>
        <w:tc>
          <w:tcPr>
            <w:tcW w:w="4089" w:type="dxa"/>
          </w:tcPr>
          <w:p w14:paraId="30081CA7" w14:textId="77777777" w:rsidR="009E5696" w:rsidRDefault="00273474">
            <w:pPr>
              <w:keepLines/>
              <w:spacing w:before="20" w:after="20"/>
              <w:jc w:val="center"/>
            </w:pPr>
            <w:r>
              <w:t>80.000%</w:t>
            </w:r>
          </w:p>
        </w:tc>
        <w:tc>
          <w:tcPr>
            <w:tcW w:w="4089" w:type="dxa"/>
          </w:tcPr>
          <w:p w14:paraId="423FFC53" w14:textId="77777777" w:rsidR="009E5696" w:rsidRDefault="00273474">
            <w:pPr>
              <w:keepLines/>
              <w:spacing w:before="20" w:after="20"/>
              <w:jc w:val="center"/>
            </w:pPr>
            <w:r>
              <w:t>88.889%</w:t>
            </w:r>
          </w:p>
        </w:tc>
        <w:tc>
          <w:tcPr>
            <w:tcW w:w="1022" w:type="dxa"/>
          </w:tcPr>
          <w:p w14:paraId="2BBFC4D6" w14:textId="77777777" w:rsidR="009E5696" w:rsidRDefault="009E5696">
            <w:pPr>
              <w:keepLines/>
              <w:spacing w:before="20" w:after="20"/>
              <w:jc w:val="center"/>
            </w:pPr>
          </w:p>
        </w:tc>
      </w:tr>
      <w:tr w:rsidR="009E5696" w14:paraId="4AD36AAE" w14:textId="77777777">
        <w:tc>
          <w:tcPr>
            <w:tcW w:w="1022" w:type="dxa"/>
          </w:tcPr>
          <w:p w14:paraId="49F55E57" w14:textId="77777777" w:rsidR="009E5696" w:rsidRDefault="009E5696">
            <w:pPr>
              <w:keepLines/>
              <w:spacing w:before="20" w:after="20"/>
              <w:jc w:val="center"/>
            </w:pPr>
          </w:p>
        </w:tc>
        <w:tc>
          <w:tcPr>
            <w:tcW w:w="4089" w:type="dxa"/>
          </w:tcPr>
          <w:p w14:paraId="65311B20" w14:textId="77777777" w:rsidR="009E5696" w:rsidRDefault="00273474">
            <w:pPr>
              <w:keepLines/>
              <w:spacing w:before="20" w:after="20"/>
              <w:jc w:val="center"/>
            </w:pPr>
            <w:r>
              <w:t>75.000%</w:t>
            </w:r>
          </w:p>
        </w:tc>
        <w:tc>
          <w:tcPr>
            <w:tcW w:w="4089" w:type="dxa"/>
          </w:tcPr>
          <w:p w14:paraId="27EA8D91" w14:textId="77777777" w:rsidR="009E5696" w:rsidRDefault="00273474">
            <w:pPr>
              <w:keepLines/>
              <w:spacing w:before="20" w:after="20"/>
              <w:jc w:val="center"/>
            </w:pPr>
            <w:r>
              <w:t>83.333%</w:t>
            </w:r>
          </w:p>
        </w:tc>
        <w:tc>
          <w:tcPr>
            <w:tcW w:w="1022" w:type="dxa"/>
          </w:tcPr>
          <w:p w14:paraId="6C45BF93" w14:textId="77777777" w:rsidR="009E5696" w:rsidRDefault="009E5696">
            <w:pPr>
              <w:keepLines/>
              <w:spacing w:before="20" w:after="20"/>
              <w:jc w:val="center"/>
            </w:pPr>
          </w:p>
        </w:tc>
      </w:tr>
      <w:tr w:rsidR="009E5696" w14:paraId="7E1FBD67" w14:textId="77777777">
        <w:tc>
          <w:tcPr>
            <w:tcW w:w="1022" w:type="dxa"/>
          </w:tcPr>
          <w:p w14:paraId="2BB06DDA" w14:textId="77777777" w:rsidR="009E5696" w:rsidRDefault="009E5696">
            <w:pPr>
              <w:keepLines/>
              <w:spacing w:before="20" w:after="20"/>
              <w:jc w:val="center"/>
            </w:pPr>
          </w:p>
        </w:tc>
        <w:tc>
          <w:tcPr>
            <w:tcW w:w="4089" w:type="dxa"/>
          </w:tcPr>
          <w:p w14:paraId="2A731977" w14:textId="77777777" w:rsidR="009E5696" w:rsidRDefault="00273474">
            <w:pPr>
              <w:keepLines/>
              <w:spacing w:before="20" w:after="20"/>
              <w:jc w:val="center"/>
            </w:pPr>
            <w:r>
              <w:t>50.000%</w:t>
            </w:r>
          </w:p>
        </w:tc>
        <w:tc>
          <w:tcPr>
            <w:tcW w:w="4089" w:type="dxa"/>
          </w:tcPr>
          <w:p w14:paraId="1CA4B8D5" w14:textId="77777777" w:rsidR="009E5696" w:rsidRDefault="00273474">
            <w:pPr>
              <w:keepLines/>
              <w:spacing w:before="20" w:after="20"/>
              <w:jc w:val="center"/>
            </w:pPr>
            <w:r>
              <w:t>55.556%</w:t>
            </w:r>
          </w:p>
        </w:tc>
        <w:tc>
          <w:tcPr>
            <w:tcW w:w="1022" w:type="dxa"/>
          </w:tcPr>
          <w:p w14:paraId="76538B9B" w14:textId="77777777" w:rsidR="009E5696" w:rsidRDefault="009E5696">
            <w:pPr>
              <w:keepLines/>
              <w:spacing w:before="20" w:after="20"/>
              <w:jc w:val="center"/>
            </w:pPr>
          </w:p>
        </w:tc>
      </w:tr>
      <w:tr w:rsidR="009E5696" w14:paraId="05B3A5FE" w14:textId="77777777">
        <w:tc>
          <w:tcPr>
            <w:tcW w:w="1022" w:type="dxa"/>
          </w:tcPr>
          <w:p w14:paraId="22B2219D" w14:textId="77777777" w:rsidR="009E5696" w:rsidRDefault="009E5696">
            <w:pPr>
              <w:keepLines/>
              <w:spacing w:before="20" w:after="20"/>
              <w:jc w:val="center"/>
            </w:pPr>
          </w:p>
        </w:tc>
        <w:tc>
          <w:tcPr>
            <w:tcW w:w="4089" w:type="dxa"/>
          </w:tcPr>
          <w:p w14:paraId="26C04DFE" w14:textId="77777777" w:rsidR="009E5696" w:rsidRDefault="00273474">
            <w:pPr>
              <w:keepLines/>
              <w:spacing w:before="20" w:after="20"/>
              <w:jc w:val="center"/>
            </w:pPr>
            <w:r>
              <w:t>25.000%</w:t>
            </w:r>
          </w:p>
        </w:tc>
        <w:tc>
          <w:tcPr>
            <w:tcW w:w="4089" w:type="dxa"/>
          </w:tcPr>
          <w:p w14:paraId="3A7CC777" w14:textId="77777777" w:rsidR="009E5696" w:rsidRDefault="00273474">
            <w:pPr>
              <w:keepLines/>
              <w:spacing w:before="20" w:after="20"/>
              <w:jc w:val="center"/>
            </w:pPr>
            <w:r>
              <w:t>27.778%</w:t>
            </w:r>
          </w:p>
        </w:tc>
        <w:tc>
          <w:tcPr>
            <w:tcW w:w="1022" w:type="dxa"/>
          </w:tcPr>
          <w:p w14:paraId="5FFCF0ED" w14:textId="77777777" w:rsidR="009E5696" w:rsidRDefault="009E5696">
            <w:pPr>
              <w:keepLines/>
              <w:spacing w:before="20" w:after="20"/>
              <w:jc w:val="center"/>
            </w:pPr>
          </w:p>
        </w:tc>
      </w:tr>
      <w:tr w:rsidR="009E5696" w14:paraId="322C8129" w14:textId="77777777">
        <w:tc>
          <w:tcPr>
            <w:tcW w:w="1022" w:type="dxa"/>
          </w:tcPr>
          <w:p w14:paraId="57F3B858" w14:textId="77777777" w:rsidR="009E5696" w:rsidRDefault="009E5696">
            <w:pPr>
              <w:keepLines/>
              <w:spacing w:before="20" w:after="20"/>
              <w:jc w:val="center"/>
            </w:pPr>
          </w:p>
        </w:tc>
        <w:tc>
          <w:tcPr>
            <w:tcW w:w="4089" w:type="dxa"/>
            <w:shd w:val="clear" w:color="auto" w:fill="BFBFBF"/>
          </w:tcPr>
          <w:p w14:paraId="3BF3F537" w14:textId="77777777" w:rsidR="009E5696" w:rsidRDefault="00273474">
            <w:pPr>
              <w:keepLines/>
              <w:spacing w:before="20" w:after="20"/>
              <w:jc w:val="center"/>
            </w:pPr>
            <w:r>
              <w:rPr>
                <w:b/>
              </w:rPr>
              <w:t>0.000%</w:t>
            </w:r>
          </w:p>
        </w:tc>
        <w:tc>
          <w:tcPr>
            <w:tcW w:w="4089" w:type="dxa"/>
            <w:shd w:val="clear" w:color="auto" w:fill="BFBFBF"/>
          </w:tcPr>
          <w:p w14:paraId="19131261" w14:textId="77777777" w:rsidR="009E5696" w:rsidRDefault="00273474">
            <w:pPr>
              <w:keepLines/>
              <w:spacing w:before="20" w:after="20"/>
              <w:jc w:val="center"/>
            </w:pPr>
            <w:r>
              <w:rPr>
                <w:b/>
              </w:rPr>
              <w:t>0.000%</w:t>
            </w:r>
          </w:p>
        </w:tc>
        <w:tc>
          <w:tcPr>
            <w:tcW w:w="1022" w:type="dxa"/>
          </w:tcPr>
          <w:p w14:paraId="0BB4CD16" w14:textId="77777777" w:rsidR="009E5696" w:rsidRDefault="009E5696">
            <w:pPr>
              <w:keepLines/>
              <w:spacing w:before="20" w:after="20"/>
              <w:jc w:val="center"/>
            </w:pPr>
          </w:p>
        </w:tc>
      </w:tr>
    </w:tbl>
    <w:p w14:paraId="7063D643" w14:textId="77777777" w:rsidR="009E5696" w:rsidRDefault="00273474">
      <w:pPr>
        <w:pStyle w:val="BofaPara"/>
        <w:spacing w:line="200" w:lineRule="atLeast"/>
      </w:pPr>
      <w:r>
        <w:rPr>
          <w:rFonts w:eastAsia="Arial"/>
        </w:rPr>
        <w:t>If, for example, the Final Underlier Level were determined to be 25.000% of the Initial Underlier Level, the Cash Settlement Amount that we would deliver on your notes at maturity would be approximately 27.778% of the face amount of your notes (which would be equal to a Cash Settlement Amount of approximately $277.78), as shown in the table above. As a result, if you purchased your notes on the original issue date at the face amount and held them to the stated maturity date, you would lose approximately 72.222% of your investment (if you purchased your notes at a premium to face amount you would lose a correspondingly higher percentage of your investment). If the Final Underlier Level were determined to be 0.000% of the Initial Underlier Level, you would lose your entire investment in the notes. In addition, if the Final Underlier Level were determined to be 140.000% of the Initial Underlier Level, the Cash Settlement Amount that we would deliver on your notes at maturity would be capped at the Threshold Settlement Amount of $1,111.60, or 111.160% of each $1,000 face amount of your notes, as shown in the table above. As a result, if you held your notes to the stated maturity date, you would not benefit from any increase in the Final Underlier Level of greater than 90.000% of the Initial Underlier Level.</w:t>
      </w:r>
    </w:p>
    <w:p w14:paraId="411FB669" w14:textId="77777777" w:rsidR="009E5696" w:rsidRDefault="00273474">
      <w:pPr>
        <w:pStyle w:val="BofaPara"/>
        <w:spacing w:line="200" w:lineRule="atLeast"/>
      </w:pPr>
      <w:r>
        <w:rPr>
          <w:rFonts w:eastAsia="Arial"/>
        </w:rPr>
        <w:t>The following chart shows a graphical illustration of the hypothetical Cash Settlement Amounts that we would pay on your notes on the stated maturity date, if the Final Underlier Level were any of the hypothetical levels shown on the horizontal axis. The hypothetical Cash Settlement Amounts in the chart are expressed as percentages of the face amount of your notes and the hypothetical Final Underlier Levels are expressed as percentages of the Initial Underlier Level. The chart shows that any hypothetical Final Underlier Level of less than 90.000% (the section left of the 90.000% marker on the horizontal axis) would result in a hypothetical Cash Settlement Amount of less than 100.000% of the face amount of your notes (the section below the 100.000% marker on the vertical axis) and, accordingly, in a loss of principal to the holder of the notes. The chart also shows that any hypothetical Final Underlier Level of greater than or equal to 90.000% of the Initial Underlier Level (the section right of the 90.000% marker on the horizontal axis) would result in a fixed return on your investment.</w:t>
      </w:r>
    </w:p>
    <w:p w14:paraId="78A5AD89" w14:textId="77777777" w:rsidR="009E5696" w:rsidRDefault="00273474">
      <w:pPr>
        <w:pageBreakBefore/>
        <w:spacing w:line="220" w:lineRule="atLeast"/>
        <w:jc w:val="center"/>
      </w:pPr>
      <w:r>
        <w:rPr>
          <w:noProof/>
        </w:rPr>
        <w:lastRenderedPageBreak/>
        <w:drawing>
          <wp:inline distT="0" distB="0" distL="0" distR="0" wp14:anchorId="667E64FE" wp14:editId="19F54E13">
            <wp:extent cx="6400000" cy="3600000"/>
            <wp:effectExtent l="0" t="0" r="0" b="0"/>
            <wp:docPr id="791472247" name="Picture 79147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pic:nvPicPr>
                  <pic:blipFill>
                    <a:blip r:embed="rId11"/>
                    <a:stretch>
                      <a:fillRect/>
                    </a:stretch>
                  </pic:blipFill>
                  <pic:spPr>
                    <a:xfrm>
                      <a:off x="0" y="0"/>
                      <a:ext cx="6400000" cy="3600000"/>
                    </a:xfrm>
                    <a:prstGeom prst="rect">
                      <a:avLst/>
                    </a:prstGeom>
                  </pic:spPr>
                </pic:pic>
              </a:graphicData>
            </a:graphic>
          </wp:inline>
        </w:drawing>
      </w:r>
    </w:p>
    <w:tbl>
      <w:tblPr>
        <w:tblW w:w="0" w:type="auto"/>
        <w:tblLook w:val="04A0" w:firstRow="1" w:lastRow="0" w:firstColumn="1" w:lastColumn="0" w:noHBand="0" w:noVBand="1"/>
      </w:tblPr>
      <w:tblGrid>
        <w:gridCol w:w="5063"/>
        <w:gridCol w:w="5062"/>
      </w:tblGrid>
      <w:tr w:rsidR="009E5696" w14:paraId="3317AE16" w14:textId="77777777">
        <w:tc>
          <w:tcPr>
            <w:tcW w:w="5111" w:type="dxa"/>
          </w:tcPr>
          <w:p w14:paraId="06FF6758" w14:textId="77777777" w:rsidR="009E5696" w:rsidRDefault="00273474">
            <w:pPr>
              <w:keepNext/>
              <w:jc w:val="center"/>
            </w:pPr>
            <w:r>
              <w:rPr>
                <w:b/>
                <w:color w:val="FF0000"/>
              </w:rPr>
              <w:t xml:space="preserve">––– </w:t>
            </w:r>
            <w:r>
              <w:rPr>
                <w:b/>
                <w:color w:val="000000"/>
              </w:rPr>
              <w:t>Note Performance</w:t>
            </w:r>
          </w:p>
        </w:tc>
        <w:tc>
          <w:tcPr>
            <w:tcW w:w="5111" w:type="dxa"/>
          </w:tcPr>
          <w:p w14:paraId="0F2C5724" w14:textId="77777777" w:rsidR="009E5696" w:rsidRDefault="00273474">
            <w:pPr>
              <w:keepNext/>
              <w:jc w:val="center"/>
            </w:pPr>
            <w:r>
              <w:rPr>
                <w:b/>
                <w:color w:val="000000"/>
              </w:rPr>
              <w:t>– – – Underlier Performance</w:t>
            </w:r>
          </w:p>
        </w:tc>
      </w:tr>
    </w:tbl>
    <w:p w14:paraId="2E7E49B3" w14:textId="77777777" w:rsidR="009E5696" w:rsidRDefault="00273474">
      <w:pPr>
        <w:pStyle w:val="BofaPara"/>
        <w:spacing w:line="200" w:lineRule="atLeast"/>
      </w:pPr>
      <w:r>
        <w:rPr>
          <w:rFonts w:eastAsia="Arial"/>
        </w:rPr>
        <w:t>The Cash Settlement Amounts shown above are entirely hypothetical; they are based on market prices for the Underlier Stocks that may not be achieved on the Determination Date and on assumptions that may prove to be erroneous. The actual market value of your notes on the stated maturity date or at any other time, including any time you may wish to sell your notes, may bear little relation to the hypothetical Cash Settlement Amounts shown above, and these amounts should not be viewed as an indication of the financial return on an investment in the offered notes. The hypothetical Cash Settlement Amounts on notes held to the stated maturity date in the examples above assume you purchased your notes at their face amount and have not been adjusted to reflect the actual price to public you pay for your notes. The return on your investment (whether positive or negative) in your notes will be affected by the amount you pay for your notes. If you purchase your notes for a price other than the face amount, the return on your investment will differ from, and may be significantly lower than, the hypothetical returns suggested by the above examples. Please read “Risk Factors — If You Purchase Your Notes at a Premium to Face Amount, the Return on Your Investment Will Be Lower Than the Return on Notes Purchased at Face Amount and the Impact of Certain Key Terms of the Notes Will Be Negatively Affected” below.</w:t>
      </w:r>
    </w:p>
    <w:p w14:paraId="3DDE2B59" w14:textId="77777777" w:rsidR="009E5696" w:rsidRDefault="00273474">
      <w:pPr>
        <w:pStyle w:val="BofaPara"/>
        <w:spacing w:line="200" w:lineRule="atLeast"/>
      </w:pPr>
      <w:r>
        <w:rPr>
          <w:rFonts w:eastAsia="Arial"/>
        </w:rPr>
        <w:t>Payments on the notes are economically equivalent to the amounts that would be paid on a combination of other instruments. For example, payments on the notes are economically equivalent to a combination of an interest-bearing bond bought by the holder and one or more options entered into between the holder and us (with one or more implicit option premiums paid over time). The discussion in this paragraph does not modify or affect the terms of the notes or the U.S. federal income tax treatment of the notes, as described elsewhere in this pricing supplement.</w:t>
      </w:r>
    </w:p>
    <w:tbl>
      <w:tblPr>
        <w:tblW w:w="0" w:type="auto"/>
        <w:tblLook w:val="04A0" w:firstRow="1" w:lastRow="0" w:firstColumn="1" w:lastColumn="0" w:noHBand="0" w:noVBand="1"/>
      </w:tblPr>
      <w:tblGrid>
        <w:gridCol w:w="10025"/>
      </w:tblGrid>
      <w:tr w:rsidR="009E5696" w14:paraId="04CE9DB2" w14:textId="77777777">
        <w:tc>
          <w:tcPr>
            <w:tcW w:w="10222" w:type="dxa"/>
            <w:tcBorders>
              <w:top w:val="single" w:sz="8" w:space="4" w:color="auto"/>
              <w:left w:val="single" w:sz="8" w:space="4" w:color="auto"/>
              <w:bottom w:val="single" w:sz="8" w:space="4" w:color="auto"/>
              <w:right w:val="single" w:sz="8" w:space="4" w:color="auto"/>
            </w:tcBorders>
          </w:tcPr>
          <w:p w14:paraId="0F31CE93" w14:textId="77777777" w:rsidR="009E5696" w:rsidRDefault="00273474">
            <w:r>
              <w:rPr>
                <w:i/>
              </w:rPr>
              <w:t>We cannot predict the actual Final Underlier Level or what the market value of your notes will be on any particular trading day, nor can we predict the relationship between the level of the Underlier and the market value of your notes at any time prior to the stated maturity date. The actual amount that you will receive, if any, at maturity and the rate of return on the offered notes will depend on the Final Underlier Level determined by the calculation agent as described above. Moreover, the assumptions on which the hypothetical returns are based may turn out to be inaccurate. Consequently, the amount of cash to be paid in respect of your notes, if any, on the stated maturity date may be very different from the information reflected in the table and chart above.</w:t>
            </w:r>
          </w:p>
        </w:tc>
      </w:tr>
    </w:tbl>
    <w:p w14:paraId="0584634D" w14:textId="77777777" w:rsidR="009E5696" w:rsidRDefault="00273474">
      <w:pPr>
        <w:pStyle w:val="TitleHeading"/>
        <w:pageBreakBefore/>
        <w:spacing w:before="200" w:after="200"/>
        <w:jc w:val="center"/>
      </w:pPr>
      <w:bookmarkStart w:id="9" w:name="gsRiskFactorsLink"/>
      <w:r>
        <w:rPr>
          <w:b/>
        </w:rPr>
        <w:lastRenderedPageBreak/>
        <w:t>RISK FACTORS</w:t>
      </w:r>
      <w:bookmarkEnd w:id="9"/>
    </w:p>
    <w:tbl>
      <w:tblPr>
        <w:tblW w:w="0" w:type="auto"/>
        <w:tblLook w:val="04A0" w:firstRow="1" w:lastRow="0" w:firstColumn="1" w:lastColumn="0" w:noHBand="0" w:noVBand="1"/>
      </w:tblPr>
      <w:tblGrid>
        <w:gridCol w:w="10025"/>
      </w:tblGrid>
      <w:tr w:rsidR="009E5696" w14:paraId="78D26AAA" w14:textId="77777777">
        <w:tc>
          <w:tcPr>
            <w:tcW w:w="10222" w:type="dxa"/>
            <w:tcBorders>
              <w:top w:val="single" w:sz="8" w:space="4" w:color="auto"/>
              <w:left w:val="single" w:sz="8" w:space="4" w:color="auto"/>
              <w:bottom w:val="single" w:sz="8" w:space="4" w:color="auto"/>
              <w:right w:val="single" w:sz="8" w:space="4" w:color="auto"/>
            </w:tcBorders>
          </w:tcPr>
          <w:p w14:paraId="42E225D6" w14:textId="77777777" w:rsidR="009E5696" w:rsidRDefault="00273474">
            <w:pPr>
              <w:spacing w:line="200" w:lineRule="atLeast"/>
            </w:pPr>
            <w:r>
              <w:rPr>
                <w:i/>
              </w:rPr>
              <w:t>An investment in your notes is subject to the risks described below, as well as the risks and considerations described in the accompanying prospectus, prospectus supplement and product supplement. You should carefully review these risks and considerations as well as the terms of the notes described herein and in the accompanying prospectus, prospectus supplement and product supplement. Your notes are a riskier investment than ordinary debt securities. Also, your notes are not equivalent to investing directly in the Underlier Stocks, i.e., the stocks comprising the Underlier to which your notes are linked. You should carefully consider whether the offered notes are suited to your particular circumstances.</w:t>
            </w:r>
          </w:p>
        </w:tc>
      </w:tr>
    </w:tbl>
    <w:p w14:paraId="3B52F97D" w14:textId="77777777" w:rsidR="009E5696" w:rsidRDefault="00273474">
      <w:pPr>
        <w:spacing w:before="180" w:after="180"/>
      </w:pPr>
      <w:r>
        <w:rPr>
          <w:b/>
          <w:u w:val="single"/>
        </w:rPr>
        <w:t>Structure-related Risks</w:t>
      </w:r>
    </w:p>
    <w:p w14:paraId="793A0274" w14:textId="77777777" w:rsidR="009E5696" w:rsidRDefault="00273474">
      <w:pPr>
        <w:spacing w:before="180" w:after="180"/>
        <w:jc w:val="center"/>
      </w:pPr>
      <w:r>
        <w:rPr>
          <w:b/>
        </w:rPr>
        <w:t>You May Lose Your Entire Investment in the Notes</w:t>
      </w:r>
    </w:p>
    <w:p w14:paraId="417D185F" w14:textId="77777777" w:rsidR="009E5696" w:rsidRDefault="00273474">
      <w:pPr>
        <w:spacing w:line="200" w:lineRule="atLeast"/>
      </w:pPr>
      <w:r>
        <w:t>You can lose your entire investment in the notes. The cash payment on your notes, if any, on the stated maturity date will be based on the performance of the Underlier as measured from the Initial Underlier Level to the closing level on the Determination Date. If the Final Underlier Level is less than the Threshold Level, you will have a loss for each $1,000 of the face amount of your notes equal to the product of (i) the Buffer Rate times (ii) the sum of the Underlier Return plus the Threshold Amount times (iii) $1,000. Thus, you will be exposed on a leveraged basis to any decrease in the Final Underlier Level beyond the Threshold Amount, and the return on your investment will be negative. You may lose your entire investment in the notes, which would include any premium to face amount you paid when you purchased the notes. Also, the market price of your notes prior to the stated maturity date may be significantly lower than the purchase price you pay for your notes. Consequently, if you sell your notes before the stated maturity date, you may receive far less than the amount of your investment in the notes.</w:t>
      </w:r>
    </w:p>
    <w:p w14:paraId="771CD4A4" w14:textId="77777777" w:rsidR="009E5696" w:rsidRDefault="00273474">
      <w:pPr>
        <w:spacing w:before="180" w:after="180"/>
        <w:jc w:val="center"/>
      </w:pPr>
      <w:r>
        <w:rPr>
          <w:b/>
        </w:rPr>
        <w:t>The Return on Your Notes Will Be Limited to the Return Represented by the Threshold Settlement Amount</w:t>
      </w:r>
    </w:p>
    <w:p w14:paraId="28169981" w14:textId="77777777" w:rsidR="009E5696" w:rsidRDefault="00273474">
      <w:pPr>
        <w:spacing w:line="200" w:lineRule="atLeast"/>
      </w:pPr>
      <w:r>
        <w:t>Your ability to participate in any appreciation in the level of the Underlier over the life of your notes will be limited to the return represented by the Threshold Settlement Amount. You will receive a fixed Threshold Settlement Amount if the Final Underlier Level is greater than or equal to the Threshold Level. You will not receive a return on the notes greater than the return represented by the Threshold Settlement Amount, regardless of how much the level of the Underlier increases over the life of your notes. Accordingly, the amount payable for each of your notes may be significantly less than it would have been had you invested directly in the Underlier Stocks.</w:t>
      </w:r>
    </w:p>
    <w:p w14:paraId="060BC282" w14:textId="4F4AD14B" w:rsidR="009E5696" w:rsidRDefault="00273474">
      <w:pPr>
        <w:spacing w:before="180" w:after="180"/>
        <w:jc w:val="center"/>
      </w:pPr>
      <w:r>
        <w:rPr>
          <w:b/>
        </w:rPr>
        <w:t>Any Payment on the Notes Is Subject to Our Credit Risk and the Credit Risk of the Guarantor, and Actual or Perceived Changes in Our or the Guarantor’s Creditworthiness Are Expected to Affect the Value of, or Any Amounts Payable on</w:t>
      </w:r>
      <w:r w:rsidR="00C52DF6">
        <w:rPr>
          <w:b/>
        </w:rPr>
        <w:t>,</w:t>
      </w:r>
      <w:r>
        <w:rPr>
          <w:b/>
        </w:rPr>
        <w:t xml:space="preserve"> the Notes</w:t>
      </w:r>
    </w:p>
    <w:p w14:paraId="0C31A423" w14:textId="77777777" w:rsidR="009E5696" w:rsidRDefault="00273474">
      <w:pPr>
        <w:spacing w:line="200" w:lineRule="atLeast"/>
      </w:pPr>
      <w:r>
        <w:t>The notes are our unsecured senior debt securities. Any payment on the notes will be fully and unconditionally guaranteed by the Guarantor. The notes are not guaranteed by any entity other than the Guarantor. As a result, your receipt of the Cash Settlement Amount at maturity will be dependent upon our ability and the ability of the Guarantor to repay our obligations under the notes on the stated maturity date, regardless of the level of the Underlier. No assurance can be given as to what our financial condition or the financial condition of the Guarantor will be on the stated maturity date. If we and the Guarantor become unable to meet our respective financial obligations as they become due, you may not receive the amounts payable under the terms of the notes.In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stated maturity date may adversely affect the market value of the notes. However, because your return on the notes depends upon factors in addition to our ability and the ability of the Guarantor to pay our respective obligations, such as the level of the Underlier, an improvement in our or the Guarantor’s credit ratings will not reduce the other investment risks related to the notes.</w:t>
      </w:r>
    </w:p>
    <w:p w14:paraId="67727AF3" w14:textId="77777777" w:rsidR="009E5696" w:rsidRDefault="00273474">
      <w:pPr>
        <w:spacing w:before="180" w:after="180"/>
        <w:jc w:val="center"/>
      </w:pPr>
      <w:r>
        <w:rPr>
          <w:b/>
        </w:rPr>
        <w:t>We Are a Finance Subsidiary and, as Such, Have No Independent Assets, Operations or Revenues</w:t>
      </w:r>
    </w:p>
    <w:p w14:paraId="2DE3AADF" w14:textId="044BFD0C" w:rsidR="009E5696" w:rsidRDefault="00273474">
      <w:pPr>
        <w:spacing w:line="200" w:lineRule="atLeast"/>
      </w:pPr>
      <w:r>
        <w:t xml:space="preserve">We are a finance subsidiary of the Guarantor, have no operations other than those related to the issuance, administration and payment of our obligations under our debt securities that are guaranteed by the Guarantor, and are dependent upon the Guarantor and/or its other subsidiaries to meet our obligations under the notes in the ordinary course. However, we will have no assets available for distributions to holders of the notes if they make </w:t>
      </w:r>
      <w:r>
        <w:lastRenderedPageBreak/>
        <w:t>claims in respect of such notes in a bankruptcy, resolution or similar proceeding. Accordingly, any recoveries by such holders in respect of such claims in any such proceeding will be limited to those available under the Guarantor’s guarantee of such notes, and any obligations under that guarantee will rank equally in right of payment with all other unsecured and unsubordinated obligations of the Guarantor</w:t>
      </w:r>
      <w:r w:rsidR="00C52DF6">
        <w:t>,</w:t>
      </w:r>
      <w:r>
        <w:t xml:space="preserve"> except obligations that are subject to any priorities or preferences by law, and senior in right of payment to the Guarantor’s subordinated obligations. Therefore, our ability to make payments on the notes may be limited.</w:t>
      </w:r>
    </w:p>
    <w:p w14:paraId="121F0AC0" w14:textId="77777777" w:rsidR="009E5696" w:rsidRDefault="00273474">
      <w:pPr>
        <w:spacing w:before="180" w:after="180"/>
        <w:jc w:val="center"/>
      </w:pPr>
      <w:r>
        <w:rPr>
          <w:b/>
        </w:rPr>
        <w:t>The Amount Payable on Your Notes Is Not Linked to the Level of the Underlier at Any Time Other Than the Determination Date</w:t>
      </w:r>
    </w:p>
    <w:p w14:paraId="4BEC2424" w14:textId="77777777" w:rsidR="009E5696" w:rsidRDefault="00273474">
      <w:pPr>
        <w:spacing w:line="200" w:lineRule="atLeast"/>
      </w:pPr>
      <w:r>
        <w:t>The Final Underlier Level will be the closing level of the Underlier on the Determination Date (subject to adjustment as described elsewhere in this pricing supplement). Therefore, if the closing level of the Underlier decreased significantly on the Determination Date, the Cash Settlement Amount for your notes may be significantly less than it would have been had the Cash Settlement Amount been linked to the closing level of the Underlier prior to such decrease in the level of the Underlier. Although the actual level of the Underlier on the stated maturity date or at other times during the life of your notes may be higher than the Final Underlier Level, you will not benefit from the closing level of the Underlier at any time other than on the Determination Date.</w:t>
      </w:r>
    </w:p>
    <w:p w14:paraId="3D33625A" w14:textId="77777777" w:rsidR="009E5696" w:rsidRDefault="00273474">
      <w:pPr>
        <w:spacing w:before="180" w:after="180"/>
        <w:jc w:val="center"/>
      </w:pPr>
      <w:r>
        <w:rPr>
          <w:b/>
        </w:rPr>
        <w:t>Your Notes Will Not Bear Interest</w:t>
      </w:r>
    </w:p>
    <w:p w14:paraId="7750F866" w14:textId="77777777" w:rsidR="009E5696" w:rsidRDefault="00273474">
      <w:pPr>
        <w:spacing w:line="200" w:lineRule="atLeast"/>
      </w:pPr>
      <w:r>
        <w:t>You will not receive any interest payments on your notes. As a result, even if the Cash Settlement Amount payable for your notes on the stated maturity date exceeds the face amount of your notes, the overall return you earn on your notes may be less than you would have earned by investing in a non-indexed debt security of comparable maturity that bears interest at a prevailing market rate.</w:t>
      </w:r>
    </w:p>
    <w:p w14:paraId="78565BDC" w14:textId="77777777" w:rsidR="009E5696" w:rsidRDefault="00273474">
      <w:pPr>
        <w:spacing w:before="200" w:after="100"/>
      </w:pPr>
      <w:r>
        <w:rPr>
          <w:b/>
          <w:u w:val="single"/>
        </w:rPr>
        <w:t>Valuation- and Market-related Risks</w:t>
      </w:r>
    </w:p>
    <w:p w14:paraId="240EFC09" w14:textId="77777777" w:rsidR="009E5696" w:rsidRDefault="00273474">
      <w:pPr>
        <w:spacing w:before="180" w:after="180"/>
        <w:jc w:val="center"/>
      </w:pPr>
      <w:bookmarkStart w:id="10" w:name="gsRiskPublicOfferingLink"/>
      <w:r>
        <w:rPr>
          <w:b/>
        </w:rPr>
        <w:t>The Public Offering Price for the Notes Exceeds Their Initial Estimated Value</w:t>
      </w:r>
      <w:bookmarkEnd w:id="10"/>
    </w:p>
    <w:p w14:paraId="6DE7BB82" w14:textId="77777777" w:rsidR="009E5696" w:rsidRDefault="00273474">
      <w:pPr>
        <w:spacing w:line="200" w:lineRule="atLeast"/>
      </w:pPr>
      <w:r>
        <w:t>The initial estimated value of the notes that is provided in this pricing supplement, is an estimate only, determined as of the trade date by reference to our and our affiliates’ pricing models. These pricing models consider certain assumptions and variables, including our credit spreads and those of the Guarantor, changes in the Guarantor’s internal funding rate, mid-market terms on hedging transactions, expectations on interest rates, dividends and volatility, price-sensitivity analysis, and the expected term of the notes. These pricing models rely in part on certain forecasts about future events, which may prove to be incorrect.</w:t>
      </w:r>
    </w:p>
    <w:p w14:paraId="6E116D0D" w14:textId="77777777" w:rsidR="009E5696" w:rsidRDefault="00273474">
      <w:pPr>
        <w:spacing w:before="180" w:after="180"/>
      </w:pPr>
      <w:r>
        <w:t>The initial estimated value does not represent a minimum or maximum price at which we, the Guarantor, BofAS or any other entities would be willing to purchase your notes in any secondary market (if any exists) at any time. The value of your notes at any time after the date of this pricing supplement will vary based on many factors that cannot be predicted with accuracy, including the performance of the Underlier, our and the Guarantor’s creditworthiness and changes in market conditions.</w:t>
      </w:r>
    </w:p>
    <w:p w14:paraId="2D916B42" w14:textId="77777777" w:rsidR="009E5696" w:rsidRDefault="00273474">
      <w:pPr>
        <w:spacing w:before="180" w:after="180"/>
      </w:pPr>
      <w:r>
        <w:t>If you attempt to sell the notes prior to maturity, their market value may be lower than the price you paid for them and lower than their initial estimated value. This is due to, among other things, changes in the level of the Underlier, the Guarantor’s internal funding rate, and the inclusion in the public offering price of the hedging-related charges, all as further described in “Structuring the Notes” below. These factors, together with various credit, market and economic factors over the term of the notes, are expected to reduce the price at which you may be able to sell the notes in any secondary market and will affect the value of the notes in complex and unpredictable ways.</w:t>
      </w:r>
    </w:p>
    <w:p w14:paraId="3ECC8D3B" w14:textId="77777777" w:rsidR="009E5696" w:rsidRDefault="00273474">
      <w:pPr>
        <w:spacing w:before="180" w:after="180"/>
        <w:jc w:val="center"/>
      </w:pPr>
      <w:r>
        <w:rPr>
          <w:b/>
        </w:rPr>
        <w:t>The Price of the Notes That May Be Paid by BofAS (and Which May Be Reflected on Customer Account Statements) May Be Higher Than the Then-Current Estimated Value of the Notes for a Limited Time Period After the Trade Date</w:t>
      </w:r>
    </w:p>
    <w:p w14:paraId="4852EA7F" w14:textId="77777777" w:rsidR="009E5696" w:rsidRDefault="00273474">
      <w:pPr>
        <w:spacing w:before="180" w:after="180"/>
      </w:pPr>
      <w:r>
        <w:t xml:space="preserve">As agreed by BofAS and the distribution participants, for approximately a three-month period after the trade date, BofAS expects to offer to buy the notes in the secondary market at a price that will exceed the estimated value of the notes at that time. The amount of this excess, which represents a portion of the hedging-related charges expected to be realized by BofAS and the distribution participants over the term of the notes, will decline to zero on a straight line basis over that three-month period. Accordingly, the estimated value of your notes during this initial three-month period may be lower than the value shown on your customer account statements. Thereafter, if BofAS buys or sells your notes, it will do so at prices that reflect the estimated value determined by reference to its pricing models at that time. Any price at any time after the trade date will be based on then-prevailing market </w:t>
      </w:r>
      <w:r>
        <w:lastRenderedPageBreak/>
        <w:t>conditions and other considerations, including the performance of the Underlier and the remaining term of the notes. However, none of us, the Guarantor, BofAS or any other party is obligated to purchase your notes at any price or at any time, and we cannot assure you that any party will purchase your notes at a price that equals or exceeds the initial estimated value of the notes.</w:t>
      </w:r>
    </w:p>
    <w:p w14:paraId="2FFAF0B7" w14:textId="77777777" w:rsidR="009E5696" w:rsidRDefault="00273474">
      <w:pPr>
        <w:spacing w:before="180" w:after="180"/>
        <w:jc w:val="center"/>
      </w:pPr>
      <w:r>
        <w:rPr>
          <w:b/>
        </w:rPr>
        <w:t>We Cannot Assure You that a Trading Market for Your Notes Will Ever Develop or Be Maintained</w:t>
      </w:r>
    </w:p>
    <w:p w14:paraId="48F16982" w14:textId="77777777" w:rsidR="009E5696" w:rsidRDefault="00273474">
      <w:pPr>
        <w:spacing w:line="200" w:lineRule="atLeast"/>
      </w:pPr>
      <w:r>
        <w:t>We will not list the notes on any securities exchange. We cannot predict how the notes will trade in any secondary market or whether that market will be liquid or illiquid.</w:t>
      </w:r>
    </w:p>
    <w:p w14:paraId="70696F93" w14:textId="77777777" w:rsidR="009E5696" w:rsidRDefault="00273474">
      <w:pPr>
        <w:spacing w:before="180" w:after="180"/>
      </w:pPr>
      <w:r>
        <w:t>The development of a trading market for the notes will depend on the Guarantor’s financial performance and other factors, including changes in the level of the Underlier. The number of potential buyers of your notes in any secondary market may be limited. We anticipate that BofAS will act as a market-maker for the notes, but none of us, the Guarantor or BofAS is required to do so. There is no assurance that any party will be willing to purchase your notes at any price in any secondary market. BofAS may discontinue its market-making activities as to the notes at any time. To the extent that BofAS engages in any market-making activities, it may bid for or offer the notes. Any price at which BofAS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w:t>
      </w:r>
    </w:p>
    <w:p w14:paraId="17EA41F5" w14:textId="77777777" w:rsidR="009E5696" w:rsidRDefault="00273474">
      <w:pPr>
        <w:spacing w:before="180" w:after="180"/>
      </w:pPr>
      <w:r>
        <w:t>In addition, if at any time BofAS were to cease acting as a market-maker as to the notes, it is likely that there would be significantly less liquidity in the secondary market. In such a case, the price at which the notes could be sold likely would be lower than if an active market existed.</w:t>
      </w:r>
    </w:p>
    <w:p w14:paraId="10F108AF" w14:textId="77777777" w:rsidR="009E5696" w:rsidRDefault="00273474">
      <w:pPr>
        <w:spacing w:before="180" w:after="180"/>
        <w:jc w:val="center"/>
      </w:pPr>
      <w:r>
        <w:rPr>
          <w:b/>
        </w:rPr>
        <w:t>We May Sell Additional Notes at a Different Issue Price</w:t>
      </w:r>
    </w:p>
    <w:p w14:paraId="09E6C94A" w14:textId="77777777" w:rsidR="009E5696" w:rsidRDefault="00273474">
      <w:pPr>
        <w:spacing w:line="200" w:lineRule="atLeast"/>
      </w:pPr>
      <w:r>
        <w:t>At our sole option, we may decide to sell an additional aggregate face amount of the notes subsequent to the date of this pricing supplement. The price to public of the notes in the subsequent sale may differ substantially (higher or lower) from the original price to public you paid as provided on the cover of this pricing supplement.</w:t>
      </w:r>
    </w:p>
    <w:p w14:paraId="75C4D9B2" w14:textId="77777777" w:rsidR="009E5696" w:rsidRDefault="00273474">
      <w:pPr>
        <w:spacing w:before="180" w:after="180"/>
        <w:jc w:val="center"/>
      </w:pPr>
      <w:bookmarkStart w:id="11" w:name="gsPurchaseAtPremiumRiskLink"/>
      <w:r>
        <w:rPr>
          <w:b/>
        </w:rPr>
        <w:t>If You Purchase Your Notes at a Premium to Face Amount, the Return on Your Investment Will Be Lower Than the Return on Notes Purchased at Face Amount and the Impact of Certain Key Terms of the Notes Will Be Negatively Affected</w:t>
      </w:r>
      <w:bookmarkEnd w:id="11"/>
    </w:p>
    <w:p w14:paraId="1BE07C40" w14:textId="77777777" w:rsidR="009E5696" w:rsidRDefault="00273474">
      <w:pPr>
        <w:spacing w:line="200" w:lineRule="atLeast"/>
      </w:pPr>
      <w:r>
        <w:t>The Cash Settlement Amount will not be adjusted based on the price to public you pay for the notes. If you purchase notes at a price that differs from the face amount of the notes, then the return on your investment in such notes held to the stated maturity date will differ from, and may be substantially less than, the return on notes purchased at face amount. If you purchase your notes at a premium to face amount and hold them to the stated maturity date, the return on your investment in the notes will be lower than it would have been had you purchased the notes at face amount or a discount to face amount. In addition, the impact of the Threshold Level and the Threshold Settlement Amount on the return on your investment will depend upon the price you pay for your notes relative to face amount. For example, if you purchase your notes at a premium to face amount, the Threshold Settlement Amount will only permit a lower positive return in your investment in the notes than would have been the case for notes purchased at face amount or a discount to face amount. Similarly, the Threshold Level, while still providing some protection for the return on the notes, will allow a greater percentage decrease in your investment in the notes than would have been the case for notes purchased at face amount or a discount to face amount.</w:t>
      </w:r>
    </w:p>
    <w:p w14:paraId="0E0B5D06" w14:textId="77777777" w:rsidR="009E5696" w:rsidRDefault="00273474">
      <w:pPr>
        <w:spacing w:before="180" w:after="180"/>
        <w:jc w:val="center"/>
      </w:pPr>
      <w:r>
        <w:rPr>
          <w:b/>
        </w:rPr>
        <w:t>If the Level of the Underlier Changes, the Market Value of Your Notes May Not Change in the Same Manner</w:t>
      </w:r>
    </w:p>
    <w:p w14:paraId="64FC6460" w14:textId="77777777" w:rsidR="009E5696" w:rsidRDefault="00273474">
      <w:pPr>
        <w:spacing w:line="200" w:lineRule="atLeast"/>
      </w:pPr>
      <w:r>
        <w:t>Your notes may trade quite differently from the performance of the Underlier. Changes in the levels of the Underlier may not result in a comparable change in the market value of your notes. We discuss some of the reasons for this disparity under “ — The Market Value of the Notes Will Be Affected by Various Factors That Interrelate in Complex Ways, and Their Market Value May Be Less Than the Face Amount” below.</w:t>
      </w:r>
    </w:p>
    <w:p w14:paraId="41A3B5BB" w14:textId="77777777" w:rsidR="009E5696" w:rsidRDefault="00273474">
      <w:pPr>
        <w:spacing w:before="180" w:after="180"/>
        <w:jc w:val="center"/>
      </w:pPr>
      <w:r>
        <w:rPr>
          <w:b/>
        </w:rPr>
        <w:t>Trading and Hedging Activities by Us, the Guarantor and Any of Our Other Affiliates, including BofAS, May Affect Your Return on the Notes and Their Market Value</w:t>
      </w:r>
    </w:p>
    <w:p w14:paraId="407F8E44" w14:textId="77777777" w:rsidR="009E5696" w:rsidRDefault="00273474">
      <w:pPr>
        <w:spacing w:line="200" w:lineRule="atLeast"/>
      </w:pPr>
      <w:r>
        <w:t xml:space="preserve">We, the Guarantor and our other affiliates, including BofAS, and any other distributors of the notes may buy or sell the Underlier Stocks, or futures or options contracts on the Underlier or the Underlier Stocks, or other listed or over-the-counter derivative instruments linked to the Underlier or the Underlier Stocks. We, the Guarantor and any </w:t>
      </w:r>
      <w:r>
        <w:lastRenderedPageBreak/>
        <w:t>of our other affiliates, including BofAS, and any other distributors of the notes may execute such purchases or sales for our own or their own accounts, for business reasons, or in connection with hedging our obligations under the notes. These transactions could adversely affect the value of these securities and, in turn, the value of the Underlier in a manner that could be adverse to your investment in the notes. On or before the applicable trade date, any purchases or sales by us, the Guarantor or other entities (including for the purpose of hedging some or all of our anticipated exposure in connection with the notes) may affect the level of the Underlier or the Underlier Stocks. Consequently, the level of the Underlier or the prices of the Underlier Stocks may change subsequent to the trade date of an issue of the notes, which may adversely affect the market value of the notes.</w:t>
      </w:r>
    </w:p>
    <w:p w14:paraId="78819D8B" w14:textId="77777777" w:rsidR="009E5696" w:rsidRDefault="00273474">
      <w:pPr>
        <w:spacing w:before="180" w:after="180"/>
      </w:pPr>
      <w:r>
        <w:t>We, the Guarantor or one or more of our other affiliates, including BofAS, and any other distributors of the notes may also engage in hedging activities that could affect the level of the Underlier on the trade date. In addition, these hedging activities, including the unwinding of a hedge, may decrease the market value of your notes prior to maturity, and may affect the amounts to be paid on the notes. We, the Guarantor or one or more of our other affiliates, including BofAS, and any other distributors of the notes may purchase or otherwise acquire a long or short position in the notes and may hold or resell the notes. For example, BofAS may enter into these transactions in connection with any market making activities in which they engage. We cannot assure you that these activities will not adversely affect the level of the Underlier, the market value of your notes prior to maturity or the amounts payable on the notes.</w:t>
      </w:r>
    </w:p>
    <w:p w14:paraId="1F85CB58" w14:textId="77777777" w:rsidR="009E5696" w:rsidRDefault="00273474">
      <w:pPr>
        <w:spacing w:before="180" w:after="180"/>
        <w:jc w:val="center"/>
      </w:pPr>
      <w:r>
        <w:rPr>
          <w:b/>
        </w:rPr>
        <w:t>The Market Value of the Notes Will Be Affected by Various Factors That Interrelate in Complex Ways, and Their Market Value May Be Less Than the Face Amount</w:t>
      </w:r>
    </w:p>
    <w:p w14:paraId="6AD6AD88" w14:textId="77777777" w:rsidR="009E5696" w:rsidRDefault="00273474">
      <w:pPr>
        <w:spacing w:line="200" w:lineRule="atLeast"/>
      </w:pPr>
      <w:r>
        <w:t>If you wish to liquidate your investment in the notes prior to maturity, your only option would be to sell them in the secondary market. At that time, there may be an illiquid market for your notes or no market at all. Even if you were able to sell your notes, there are many factors outside of our control that may affect their market value, such as the level and the volatility of the Underlier, economic and other conditions generally, interest rates, dividend yields on the securities represented by the Underlier, exchange rate movements and volatility, our and the Guarantor’s financial condition and creditworthiness, and time to maturity. The impact of any one factor may be offset or magnified by the effect of another factor. These factors may interact with each other in complex and unpredictable ways. See “Risk Factors—Valuation- and Market-related Risks—The Notes are not designed to be short-term trading instruments, and if you attempt to sell the notes prior to maturity, their market value, if any, will be affected by various factors that interrelate in complex ways, and their market value may be less than the principal amount” beginning on page PS-5 of product supplement EQUITY-1.</w:t>
      </w:r>
    </w:p>
    <w:p w14:paraId="48CC2DF2" w14:textId="77777777" w:rsidR="009E5696" w:rsidRDefault="00273474">
      <w:pPr>
        <w:spacing w:before="200" w:after="100"/>
      </w:pPr>
      <w:r>
        <w:rPr>
          <w:b/>
          <w:u w:val="single"/>
        </w:rPr>
        <w:t>Conflict-related Risks</w:t>
      </w:r>
    </w:p>
    <w:p w14:paraId="5C0B7A59" w14:textId="77777777" w:rsidR="009E5696" w:rsidRDefault="00273474">
      <w:pPr>
        <w:spacing w:before="180" w:after="180"/>
        <w:jc w:val="center"/>
      </w:pPr>
      <w:r>
        <w:rPr>
          <w:b/>
        </w:rPr>
        <w:t>Trading and Hedging Activities by Us, the Guarantor and Any of Our Other Affiliates, Including BofAS, May Create Conflicts of Interest With You and May Adversely Affect Your Return on the Notes and Their Market Value.</w:t>
      </w:r>
    </w:p>
    <w:p w14:paraId="3F619594" w14:textId="77777777" w:rsidR="009E5696" w:rsidRDefault="00273474">
      <w:pPr>
        <w:spacing w:line="200" w:lineRule="atLeast"/>
      </w:pPr>
      <w:r>
        <w:t>We, the Guarantor or one or more of our other affiliates, including BofAS, and any other distributors of the notes may engage in trading activities related to the Underlier and to the Underlier Stocks that are not for your account or on your behalf. We, the Guarantor or one or more of our other affiliates, including BofAS, and any other distributors of the notes also may issue or underwrite other financial instruments with returns based upon the Underlier. These trading and other business activities may present a conflict of interest between your interest in the notes and the interests we, the Guarantor and our other affiliates, including BofAS, and any other distributors of the notes may have in our or their proprietary accounts, in facilitating transactions, including block trades, for our or their other customers, and in accounts under our or their management. These trading and other business activities, if they influence the level of the Underlier or secondary trading in your notes, could be adverse to your interests as a beneficial owner of the notes.</w:t>
      </w:r>
    </w:p>
    <w:p w14:paraId="1DB4222A" w14:textId="77777777" w:rsidR="009E5696" w:rsidRDefault="00273474">
      <w:pPr>
        <w:spacing w:before="180" w:after="180"/>
      </w:pPr>
      <w:r>
        <w:t xml:space="preserve">We, the Guarantor or one or more of our other affiliates, including BofAS, expect to enter into arrangements or adjust or close out existing transactions to hedge our obligations under the notes. We, the Guarantor or our other affiliates, including BofAS, and any other distributors of the notes also may enter into hedging transactions relating to other notes or instruments that we or they issue, some of which may have returns calculated in a manner related to the notes. We may enter into such hedging arrangements with one of our affiliates. Our affiliates or such other distributors may enter into additional hedging transactions with other parties relating to the notes and the Underlier. This hedging activity is expected to result in a profit to those engaging in the hedging activity, which could be more or less than initially expected, but could also result in a loss. We and these other entities will price these hedging transactions with the intent to realize a profit, regardless of whether the value of the notes increases or decreases. Any profit in connection with such hedging activities will be in addition to any other </w:t>
      </w:r>
      <w:r>
        <w:lastRenderedPageBreak/>
        <w:t>compensation that we or other parties receive for the sale of the notes, which creates an additional incentive to sell the notes to you.</w:t>
      </w:r>
    </w:p>
    <w:p w14:paraId="228F5F1B" w14:textId="77777777" w:rsidR="009E5696" w:rsidRDefault="00273474">
      <w:pPr>
        <w:spacing w:before="180" w:after="180"/>
        <w:jc w:val="center"/>
      </w:pPr>
      <w:r>
        <w:rPr>
          <w:b/>
        </w:rPr>
        <w:t>There May Be Potential Conflicts of Interest Involving the Calculation Agent, Which Is an Affiliate of Ours. We Have the Right to Appoint and Remove the Calculation Agent</w:t>
      </w:r>
    </w:p>
    <w:p w14:paraId="71404AF9" w14:textId="77777777" w:rsidR="009E5696" w:rsidRDefault="00273474">
      <w:pPr>
        <w:spacing w:line="200" w:lineRule="atLeast"/>
      </w:pPr>
      <w:r>
        <w:t>BofAS will be the calculation agent for the notes and, as such, will make a variety of determinations relating to the notes, including the amounts that will be paid on the notes. Under some circumstances, these duties could result in a conflict of interest between its status as our affiliate and its responsibilities as calculation agent. These conflicts could occur, for instance, in connection with the calculation agent’s determination as to whether a Market Disruption Event has occurred. The calculation agent will be required to carry out its duties in good faith and use its reasonable judgment. However, because we expect that the Guarantor will control the calculation agent, potential conflicts of interest could arise.</w:t>
      </w:r>
    </w:p>
    <w:p w14:paraId="4A892D30" w14:textId="77777777" w:rsidR="009E5696" w:rsidRDefault="00273474">
      <w:pPr>
        <w:spacing w:before="200" w:after="100"/>
      </w:pPr>
      <w:r>
        <w:rPr>
          <w:b/>
          <w:u w:val="single"/>
        </w:rPr>
        <w:t>Underlying-related Risks</w:t>
      </w:r>
    </w:p>
    <w:p w14:paraId="0B9778A9" w14:textId="77777777" w:rsidR="009E5696" w:rsidRDefault="00273474">
      <w:pPr>
        <w:spacing w:before="180" w:after="180"/>
        <w:jc w:val="center"/>
      </w:pPr>
      <w:r>
        <w:rPr>
          <w:b/>
        </w:rPr>
        <w:t>The Probability that the Final Underlier Level Will Be Less Than the Threshold Level Will Depend in Part on the Volatility of the Underlier</w:t>
      </w:r>
    </w:p>
    <w:p w14:paraId="4CFCA64A" w14:textId="77777777" w:rsidR="009E5696" w:rsidRDefault="00273474">
      <w:pPr>
        <w:spacing w:line="200" w:lineRule="atLeast"/>
      </w:pPr>
      <w:r>
        <w:t>“Volatility” refers to the frequency and magnitude of changes in the level of the Underlier. The greater the expected volatility with respect to the Underlier on the trade date, the higher the expectation as of the trade date that the Final Underlier Level could be less than the Threshold Level, indicating a higher expected risk of loss on the notes. The terms of the notes are set, in part, based on expectations about the volatility of the Underlier as of the trade date. The volatility of the Underlier can change significantly over the term of the notes. The level of the Underlier could fall sharply, which could result in a significant loss of principal. You should be willing to accept the downside market risk of the Underlier and the potential to lose a significant amount of your principal at maturity.</w:t>
      </w:r>
    </w:p>
    <w:p w14:paraId="138435E2" w14:textId="77777777" w:rsidR="009E5696" w:rsidRDefault="00273474">
      <w:pPr>
        <w:spacing w:before="180" w:after="180"/>
        <w:jc w:val="center"/>
      </w:pPr>
      <w:r>
        <w:rPr>
          <w:b/>
        </w:rPr>
        <w:t>You Have No Shareholder Rights or Rights to Receive Any Underlier Stock</w:t>
      </w:r>
    </w:p>
    <w:p w14:paraId="5213E023" w14:textId="77777777" w:rsidR="009E5696" w:rsidRDefault="00273474">
      <w:pPr>
        <w:spacing w:line="200" w:lineRule="atLeast"/>
      </w:pPr>
      <w:r>
        <w:t>Investing in your notes will not make you a holder of any of the Underlier Stocks. Neither you nor any other holder or owner of your notes will have any rights with respect to the Underlier Stocks, including voting rights, any right to receive dividends or other distributions, any rights to make a claim against the Underlier Stocks or any other rights of a holder of the Underlier Stocks. Your notes will be paid in cash and you will have no right to receive delivery of any Underlier Stocks.</w:t>
      </w:r>
    </w:p>
    <w:p w14:paraId="5F8A9207" w14:textId="77777777" w:rsidR="009E5696" w:rsidRDefault="00273474">
      <w:pPr>
        <w:spacing w:before="180" w:after="180"/>
        <w:jc w:val="center"/>
      </w:pPr>
      <w:r>
        <w:rPr>
          <w:b/>
        </w:rPr>
        <w:t>The Publisher of the Underlier May Adjust the Underlier in a Way that Affects Its Levels, and the Publisher Has No Obligation to Consider Your Interests</w:t>
      </w:r>
    </w:p>
    <w:p w14:paraId="62110549" w14:textId="77777777" w:rsidR="009E5696" w:rsidRDefault="00273474">
      <w:pPr>
        <w:spacing w:line="200" w:lineRule="atLeast"/>
      </w:pPr>
      <w:r>
        <w:t>The publisher of the Underlier can add, delete, or substitute the components included in the Underlier or make other methodological changes that could change its level. A new security included in the Underlier may perform significantly better or worse than the replaced security, and the performance will impact the level of the Underlier. Additionally, the publisher of the Underlier may alter, discontinue, or suspend calculation or dissemination of the Underlier. Any of these actions could adversely affect the value of your notes. The publisher of the Underlier will have no obligation to consider your interests in calculating or revising the Underlier.</w:t>
      </w:r>
    </w:p>
    <w:p w14:paraId="4204AD31" w14:textId="77777777" w:rsidR="009E5696" w:rsidRDefault="00273474">
      <w:pPr>
        <w:spacing w:before="180" w:after="180"/>
        <w:jc w:val="center"/>
      </w:pPr>
      <w:r>
        <w:rPr>
          <w:b/>
        </w:rPr>
        <w:t>An Investment in the Notes Is Subject to Risks Associated with Foreign Securities Markets</w:t>
      </w:r>
    </w:p>
    <w:p w14:paraId="48750B50" w14:textId="77777777" w:rsidR="009E5696" w:rsidRDefault="00273474">
      <w:pPr>
        <w:spacing w:line="200" w:lineRule="atLeast"/>
      </w:pPr>
      <w:r>
        <w:t>The Underlier tracks the value of certain foreign equity securities. You should be aware that investments in securities linked to the value of foreign equity securities involve particular risks. The foreign securities markets comprising the Underlier may have less liquidity and may be more volatile than U.S. or other securities markets and market developments may affect foreign markets differently from U.S. or other securities markets. Direct or indirect government intervention to stabilize these foreign securities markets, as well as cross-shareholdings in foreign companies, may affect trading prices and volumes in these markets. Also, there is generally less publicly available information about foreign companies than about those U.S. companies that are subject to the reporting requirements of the Securities and Exchange Commission, and foreign companies are subject to accounting, auditing and financial reporting standards and requirements that differ from those applicable to U.S. reporting companies.</w:t>
      </w:r>
    </w:p>
    <w:p w14:paraId="4D3FE616" w14:textId="77777777" w:rsidR="009E5696" w:rsidRDefault="00273474">
      <w:pPr>
        <w:spacing w:before="180" w:after="180"/>
      </w:pPr>
      <w:r>
        <w:t xml:space="preserve">Prices of securities in foreign countries are subject to political, economic, financial and social factors that apply in those geographical regions. These factors, which could negatively affect those securities markets, include the possibility of recent or future changes in a foreign government’s economic and fiscal policies, the possible imposition of, or changes in, currency exchange laws or other laws or restrictions applicable to foreign companies </w:t>
      </w:r>
      <w:r>
        <w:lastRenderedPageBreak/>
        <w:t>or investments in foreign equity securities and the possibility of fluctuations in the rate of exchange between currencies, the possibility of outbreaks of hostility and political instability and the possibility of natural disaster or adverse public health development in the region. Any one of these factors, or the combination of more than one of these factors, could negatively affect such foreign securities markets and the prices of securities therein. Further, geographical regions may react to global factors in different ways, which may cause the prices of securities in a foreign securities market to fluctuate in a way that differs from those of securities in the U.S. securities market or other foreign securities markets. Foreign economies may differ favorably or unfavorably from the U.S. economy in important respects such as growth of gross national product, rate of inflation, capital reinvestment, resources and self-sufficiency.</w:t>
      </w:r>
    </w:p>
    <w:p w14:paraId="276AB4A8" w14:textId="77777777" w:rsidR="009E5696" w:rsidRDefault="00273474">
      <w:pPr>
        <w:spacing w:before="180" w:after="180"/>
        <w:jc w:val="center"/>
      </w:pPr>
      <w:r>
        <w:rPr>
          <w:b/>
        </w:rPr>
        <w:t>The Notes Are Linked to the Underlier Stocks, and Are Therefore Subject to Foreign Currency Exchange Rate Risk</w:t>
      </w:r>
    </w:p>
    <w:p w14:paraId="43A162A1" w14:textId="77777777" w:rsidR="009E5696" w:rsidRDefault="00273474">
      <w:pPr>
        <w:spacing w:line="200" w:lineRule="atLeast"/>
      </w:pPr>
      <w:r>
        <w:t>The payment amount on the notes will be calculated based on the Underlier, and the prices of the Underlier Stocks are converted into U.S. dollars for purposes of calculating the level of the Underlier. As a result, investors in the notes will be exposed to currency exchange rate risk with respect to each of the currencies represented by the Underlier. An investor’s net exposure will depend on the extent to which the currencies represented by the Underlier strengthen or weaken against the U.S. dollar and the relative weight of each relevant currency represented by the Underlier. If, taking into account such weight, the dollar strengthens against such currencies, the level of the Underlier will be adversely affected and the amount payable, if any, at maturity of the notes may be reduced.</w:t>
      </w:r>
    </w:p>
    <w:p w14:paraId="21518CE9" w14:textId="77777777" w:rsidR="009E5696" w:rsidRDefault="00273474">
      <w:pPr>
        <w:spacing w:before="180" w:after="180"/>
      </w:pPr>
      <w:r>
        <w:t>Foreign currency exchange rates vary over time, and may vary considerably during the life of the notes. Changes in a particular exchange rate result from the interaction of many factors directly or indirectly affecting economic and political conditions.</w:t>
      </w:r>
    </w:p>
    <w:p w14:paraId="509798FD" w14:textId="77777777" w:rsidR="009E5696" w:rsidRDefault="00273474">
      <w:pPr>
        <w:spacing w:before="180" w:after="180"/>
      </w:pPr>
      <w:r>
        <w:t>Of particular importance are:</w:t>
      </w:r>
    </w:p>
    <w:p w14:paraId="62D513A6" w14:textId="77777777" w:rsidR="009E5696" w:rsidRDefault="00273474">
      <w:pPr>
        <w:pStyle w:val="GSBulletList"/>
        <w:spacing w:before="180" w:after="180"/>
      </w:pPr>
      <w:r>
        <w:t>existing and expected rates of inflation;</w:t>
      </w:r>
    </w:p>
    <w:p w14:paraId="235FBD2B" w14:textId="77777777" w:rsidR="009E5696" w:rsidRDefault="00273474">
      <w:pPr>
        <w:pStyle w:val="GSBulletList"/>
        <w:spacing w:before="180" w:after="180"/>
      </w:pPr>
      <w:r>
        <w:t>existing and expected interest rate levels;</w:t>
      </w:r>
    </w:p>
    <w:p w14:paraId="2AE8E9BF" w14:textId="77777777" w:rsidR="009E5696" w:rsidRDefault="00273474">
      <w:pPr>
        <w:pStyle w:val="GSBulletList"/>
        <w:spacing w:before="180" w:after="180"/>
      </w:pPr>
      <w:r>
        <w:t>the balance of payments;</w:t>
      </w:r>
    </w:p>
    <w:p w14:paraId="445C1708" w14:textId="77777777" w:rsidR="009E5696" w:rsidRDefault="00273474">
      <w:pPr>
        <w:pStyle w:val="GSBulletList"/>
        <w:spacing w:before="180" w:after="180"/>
      </w:pPr>
      <w:r>
        <w:t>the extent of governmental surpluses or deficits in the relevant countries; and</w:t>
      </w:r>
    </w:p>
    <w:p w14:paraId="1BEC7529" w14:textId="77777777" w:rsidR="009E5696" w:rsidRDefault="00273474">
      <w:pPr>
        <w:pStyle w:val="GSBulletList"/>
        <w:spacing w:before="180" w:after="180"/>
      </w:pPr>
      <w:r>
        <w:t>other financial, economic, military and political factors.</w:t>
      </w:r>
    </w:p>
    <w:p w14:paraId="595764E8" w14:textId="77777777" w:rsidR="009E5696" w:rsidRDefault="00273474">
      <w:pPr>
        <w:spacing w:before="180" w:after="180"/>
      </w:pPr>
      <w:r>
        <w:t>All of these factors are, in turn, sensitive to the monetary, fiscal and trade policies pursued by the governments of the various component countries and the United States and other countries important to international trade and finance.</w:t>
      </w:r>
    </w:p>
    <w:p w14:paraId="08C70F45" w14:textId="77777777" w:rsidR="009E5696" w:rsidRDefault="00273474">
      <w:pPr>
        <w:spacing w:before="180" w:after="180"/>
      </w:pPr>
      <w:r>
        <w:t>It has been reported that the U.K. Financial Conduct Authority and regulators from other countries are in the process of investigating the potential manipulation of published currency exchange rates. If such manipulation has occurred or is continuing, certain published exchange rates may have been, or may be in the future, artificially lower (or higher) than they would otherwise have been. Any such manipulation could have an adverse impact on any payments on, and the value of, your notes and the trading market for your notes. In addition, we cannot predict whether any changes or reforms affecting the determination or publication of exchange rates or the supervision of currency trading will be implemented in connection with these investigations. Any such changes or reforms could also adversely impact your notes.</w:t>
      </w:r>
    </w:p>
    <w:p w14:paraId="57A18EA0" w14:textId="77777777" w:rsidR="009E5696" w:rsidRDefault="00273474">
      <w:pPr>
        <w:spacing w:before="180" w:after="180"/>
        <w:jc w:val="center"/>
      </w:pPr>
      <w:r>
        <w:rPr>
          <w:b/>
        </w:rPr>
        <w:t>Governmental regulatory actions could result in material changes to the composition of the MXEA and could negatively affect your return on the Notes</w:t>
      </w:r>
    </w:p>
    <w:p w14:paraId="6BE971AE" w14:textId="77777777" w:rsidR="009E5696" w:rsidRDefault="00273474">
      <w:pPr>
        <w:spacing w:line="200" w:lineRule="atLeast"/>
      </w:pPr>
      <w:r>
        <w:t xml:space="preserve">Governmental regulatory actions, including but not limited to sanctions related actions by the U.S. or foreign governments, could make it necessary or advisable for there to be material changes to the composition of the MXEA, depending on the nature of such governmental regulatory actions and the constituent stocks that are affected. For instance, pursuant to recent executive orders, U.S. persons are prohibited from engaging in transactions in publicly traded securities of certain companies that are determined to be linked to the People’s Republic of China (the “PRC”) military, intelligence and security apparatus, or securities that are derivative of, or are designed to provide investment exposure to such securities. If any governmental regulatory action results in the removal of constituent stocks that have (or historically have had) significant weights within the MXEA, such </w:t>
      </w:r>
      <w:r>
        <w:lastRenderedPageBreak/>
        <w:t>removal, or even any uncertainty relating to a possible removal, could have a material and negative effect on the price of the MXEA and, therefore, your return on the notes.</w:t>
      </w:r>
    </w:p>
    <w:p w14:paraId="75BB0D14" w14:textId="77777777" w:rsidR="009E5696" w:rsidRDefault="00273474">
      <w:pPr>
        <w:spacing w:before="200" w:after="100"/>
      </w:pPr>
      <w:r>
        <w:rPr>
          <w:b/>
          <w:u w:val="single"/>
        </w:rPr>
        <w:t>Tax-related Risks</w:t>
      </w:r>
    </w:p>
    <w:p w14:paraId="23F1B59F" w14:textId="77777777" w:rsidR="009E5696" w:rsidRDefault="00273474">
      <w:pPr>
        <w:spacing w:before="180" w:after="180"/>
        <w:jc w:val="center"/>
      </w:pPr>
      <w:r>
        <w:rPr>
          <w:b/>
        </w:rPr>
        <w:t>The U.S. Federal Income Tax Consequences of an Investment in the Notes Are Uncertain, and May Be Adverse to a Holder of the Notes</w:t>
      </w:r>
    </w:p>
    <w:p w14:paraId="0AD16A42" w14:textId="77777777" w:rsidR="009E5696" w:rsidRDefault="00273474">
      <w:pPr>
        <w:spacing w:line="200" w:lineRule="atLeast"/>
      </w:pPr>
      <w:r>
        <w:t>No statutory, judicial, or administrative authority directly addresses the characterization of the notes or securities similar to the notes for U.S. federal income tax purposes. As a result, significant aspects of the U.S. federal income tax consequences of an investment in the notes are not certain. Under the terms of the notes, you will have agreed with us to treat the notes as single financial contracts, as described below under “U.S. Federal Income Tax Summary—General.” If the Internal Revenue Service (the “IRS”) were successful in asserting an alternative characterization for the notes, the timing and character of gain or loss with respect to the notes may differ. No ruling will be requested from the IRS with respect to the notes and no assurance can be given that the IRS will agree with the statements made in the section entitled “U.S. Federal Income Tax Summary.” You are urged to consult with your own tax advisor regarding all aspects of the U.S. federal income tax consequences of investing in the notes.</w:t>
      </w:r>
    </w:p>
    <w:p w14:paraId="1EE6231F" w14:textId="77777777" w:rsidR="009E5696" w:rsidRDefault="00273474">
      <w:pPr>
        <w:spacing w:line="200" w:lineRule="atLeast"/>
      </w:pPr>
      <w:r>
        <w:br w:type="page"/>
      </w:r>
    </w:p>
    <w:p w14:paraId="7DDE1820" w14:textId="77777777" w:rsidR="009E5696" w:rsidRDefault="009E5696">
      <w:pPr>
        <w:spacing w:line="200" w:lineRule="atLeast"/>
        <w:jc w:val="center"/>
      </w:pPr>
      <w:bookmarkStart w:id="12" w:name="gsUnderlier"/>
    </w:p>
    <w:p w14:paraId="4C5088D9" w14:textId="77777777" w:rsidR="009E5696" w:rsidRDefault="00273474">
      <w:pPr>
        <w:spacing w:line="200" w:lineRule="atLeast"/>
        <w:jc w:val="center"/>
      </w:pPr>
      <w:r>
        <w:rPr>
          <w:b/>
          <w:caps/>
        </w:rPr>
        <w:t>The Underlier</w:t>
      </w:r>
    </w:p>
    <w:bookmarkEnd w:id="12"/>
    <w:p w14:paraId="489EC52C" w14:textId="77777777" w:rsidR="009E5696" w:rsidRDefault="009E5696">
      <w:pPr>
        <w:spacing w:line="200" w:lineRule="atLeast"/>
        <w:jc w:val="center"/>
      </w:pPr>
    </w:p>
    <w:p w14:paraId="0DFF08BF" w14:textId="77777777" w:rsidR="009E5696" w:rsidRDefault="00273474">
      <w:pPr>
        <w:pStyle w:val="GSBody"/>
      </w:pPr>
      <w:r>
        <w:t>All disclosures contained in this pricing supplement regarding the Underlier, including, without limitation, its make-up, method of calculation, and changes in its components, have been derived from publicly available sources. The information reflects the policies of, and is subject to change by, MSCI Inc. (“MSCI” or the “Underlier Sponsor”). The Underlier Sponsor, which licenses the copyright and all other rights to the Underlier, has no obligation to continue to publish, and may discontinue publication of, the Underlier. The consequences of the Underlier Sponsor discontinuing publication of the applicable Underlier are discussed in “Description of the Notes—Discontinuance of an Index” in the accompanying product supplement.  None of us, the Guarantor, the calculation agent, or BofAS accepts any responsibility for the calculation, maintenance or publication of the Underlier or any successor index.</w:t>
      </w:r>
    </w:p>
    <w:p w14:paraId="0BFF401C" w14:textId="77777777" w:rsidR="009E5696" w:rsidRDefault="00273474">
      <w:pPr>
        <w:pStyle w:val="GSBody"/>
        <w:spacing w:before="100"/>
      </w:pPr>
      <w:r>
        <w:t>In addition, information about the MSCI EAFE</w:t>
      </w:r>
      <w:r>
        <w:rPr>
          <w:vertAlign w:val="superscript"/>
        </w:rPr>
        <w:t>®</w:t>
      </w:r>
      <w:r>
        <w:t xml:space="preserve"> Index may be obtained from other sources, including, but not limited to, the underlier sponsor’s website (including information regarding the underlier’s (i) sector weightings and (ii) country weightings).  We are not incorporating by reference into this pricing supplement the website or any material it includes.  Neither we nor any agent or dealer for this offering makes any representation that this publicly available information regarding the underlier is accurate or complete.</w:t>
      </w:r>
    </w:p>
    <w:p w14:paraId="5A4B38E7" w14:textId="77777777" w:rsidR="009E5696" w:rsidRDefault="00273474">
      <w:pPr>
        <w:pStyle w:val="GSBody"/>
        <w:spacing w:before="100"/>
      </w:pPr>
      <w:r>
        <w:t>None of us, the Guarantor, BofAS or any of our other affiliates makes any representation to you as to the future performance of the Underlier.</w:t>
      </w:r>
    </w:p>
    <w:p w14:paraId="12D2E1BE" w14:textId="77777777" w:rsidR="009E5696" w:rsidRDefault="00273474">
      <w:pPr>
        <w:pStyle w:val="GSBody"/>
        <w:spacing w:before="100"/>
      </w:pPr>
      <w:r>
        <w:t>You should make your own investigation into the Underlier.</w:t>
      </w:r>
    </w:p>
    <w:p w14:paraId="3F2AF81C" w14:textId="77777777" w:rsidR="009E5696" w:rsidRDefault="00273474">
      <w:pPr>
        <w:spacing w:before="100" w:after="100"/>
      </w:pPr>
      <w:r>
        <w:rPr>
          <w:b/>
        </w:rPr>
        <w:t>The MSCI EAFE</w:t>
      </w:r>
      <w:r>
        <w:rPr>
          <w:b/>
          <w:vertAlign w:val="superscript"/>
        </w:rPr>
        <w:t>®</w:t>
      </w:r>
      <w:r>
        <w:rPr>
          <w:b/>
        </w:rPr>
        <w:t xml:space="preserve"> Index</w:t>
      </w:r>
    </w:p>
    <w:p w14:paraId="6E7D2BF3" w14:textId="77777777" w:rsidR="009E5696" w:rsidRDefault="00273474">
      <w:pPr>
        <w:spacing w:before="100" w:after="100"/>
      </w:pPr>
      <w:r>
        <w:t>The MSCI EAFE</w:t>
      </w:r>
      <w:r>
        <w:rPr>
          <w:vertAlign w:val="superscript"/>
        </w:rPr>
        <w:t>®</w:t>
      </w:r>
      <w:r>
        <w:t xml:space="preserve"> Index is intended to provide performance benchmarks for the developed equity markets in Australia, Austria, Belgium, Denmark, Finland, France, Germany, Hong Kong, Ireland, Israel, Italy, Japan, the Netherlands, New Zealand, Norway, Portugal, Singapore, Spain, Sweden, Switzerland and the United Kingdom. The constituent stocks of the MSCI EAFE</w:t>
      </w:r>
      <w:r>
        <w:rPr>
          <w:vertAlign w:val="superscript"/>
        </w:rPr>
        <w:t>®</w:t>
      </w:r>
      <w:r>
        <w:t xml:space="preserve"> Index are derived from the constituent stocks in the 21 MSCI standard single country indices for the developed market countries listed above. The MSCI EAFE</w:t>
      </w:r>
      <w:r>
        <w:rPr>
          <w:vertAlign w:val="superscript"/>
        </w:rPr>
        <w:t>®</w:t>
      </w:r>
      <w:r>
        <w:t xml:space="preserve"> Index has a base date of December 31, 1969.</w:t>
      </w:r>
    </w:p>
    <w:p w14:paraId="530C0B0D" w14:textId="77777777" w:rsidR="009E5696" w:rsidRDefault="00273474">
      <w:pPr>
        <w:spacing w:before="100" w:after="100"/>
      </w:pPr>
      <w:r>
        <w:t>The Underlier is part of the MSCI Indices series.</w:t>
      </w:r>
    </w:p>
    <w:p w14:paraId="1010E2A5" w14:textId="77777777" w:rsidR="009E5696" w:rsidRDefault="00273474">
      <w:pPr>
        <w:spacing w:before="100" w:after="100"/>
      </w:pPr>
      <w:r>
        <w:t>Construction of the MSCI EAFE</w:t>
      </w:r>
      <w:r>
        <w:rPr>
          <w:vertAlign w:val="superscript"/>
        </w:rPr>
        <w:t>®</w:t>
      </w:r>
      <w:r>
        <w:t xml:space="preserve"> Index</w:t>
      </w:r>
    </w:p>
    <w:p w14:paraId="72D37D26" w14:textId="77777777" w:rsidR="009E5696" w:rsidRPr="00D42EB5" w:rsidRDefault="00273474">
      <w:pPr>
        <w:spacing w:before="100" w:after="100"/>
      </w:pPr>
      <w:r w:rsidRPr="00D42EB5">
        <w:t>MSCI undertakes an index construction process at an individual market level, which involves: (i) defining the equity universe for each market; (ii) determining the market investable equity universe for each market; (iii) determining market capitalization size segments for each market; (iv) applying index continuity rules for the standard index; and (v) classifying securities under the Global Industry Classification Standard. The MSCI EAFE</w:t>
      </w:r>
      <w:r w:rsidRPr="00D42EB5">
        <w:rPr>
          <w:vertAlign w:val="superscript"/>
        </w:rPr>
        <w:t>®</w:t>
      </w:r>
      <w:r w:rsidRPr="00D42EB5">
        <w:t xml:space="preserve"> Index is a developed market index. All of the MSCI Indices are standard indices, meaning that only securities that would qualify for inclusion in a large cap index or a mid cap index will be included as described below.</w:t>
      </w:r>
    </w:p>
    <w:p w14:paraId="36751743" w14:textId="77777777" w:rsidR="009E5696" w:rsidRPr="00D42EB5" w:rsidRDefault="00273474">
      <w:pPr>
        <w:spacing w:before="100" w:after="100"/>
      </w:pPr>
      <w:r w:rsidRPr="00D42EB5">
        <w:t>Defining the Equity Universe</w:t>
      </w:r>
    </w:p>
    <w:p w14:paraId="450A33F1" w14:textId="77777777" w:rsidR="009E5696" w:rsidRPr="00D42EB5" w:rsidRDefault="00273474">
      <w:pPr>
        <w:pStyle w:val="Numeral1"/>
        <w:spacing w:before="100" w:after="100"/>
        <w:rPr>
          <w:sz w:val="20"/>
          <w:szCs w:val="20"/>
        </w:rPr>
      </w:pPr>
      <w:r w:rsidRPr="00D42EB5">
        <w:rPr>
          <w:rFonts w:ascii="Arial" w:eastAsia="Arial" w:hAnsi="Arial"/>
          <w:sz w:val="20"/>
          <w:szCs w:val="20"/>
        </w:rPr>
        <w:t>Identifying Eligible Equity Securities: The equity universe initially looks at securities listed in any of the countries in the MSCI global index series, which will be classified as either “developed markets” or “emerging markets”. All listed equity securities, including real estate investment trusts and certain income trusts in Canada are eligible for inclusion in the equity universe. Limited partnerships, limited liability companies and business trusts, which are listed in the U.S. and are not structured to be taxed as limited partnerships, are likewise eligible for inclusion in the equity universe. Conversely, mutual funds, exchange traded funds, equity derivatives and most investment trusts are not eligible for inclusion in the equity universe.  Preferred shares that exhibit characteristics of equity securities are eligible. Securities for which the Hong Kong Securities and Futures Commission has issued high shareholding concentration notices are not eligible.</w:t>
      </w:r>
    </w:p>
    <w:p w14:paraId="33776CC8" w14:textId="77777777" w:rsidR="009E5696" w:rsidRPr="00D42EB5" w:rsidRDefault="00273474">
      <w:pPr>
        <w:pStyle w:val="Numeral1"/>
        <w:spacing w:before="100" w:after="100"/>
        <w:rPr>
          <w:sz w:val="20"/>
          <w:szCs w:val="20"/>
        </w:rPr>
      </w:pPr>
      <w:r w:rsidRPr="00D42EB5">
        <w:rPr>
          <w:rFonts w:ascii="Arial" w:eastAsia="Arial" w:hAnsi="Arial"/>
          <w:sz w:val="20"/>
          <w:szCs w:val="20"/>
        </w:rPr>
        <w:t>Country Classification of Eligible Securities: Each company and its securities (i.e., share classes) are classified in one and only one country, which allows for a distinctive sorting of each company by its respective country.</w:t>
      </w:r>
    </w:p>
    <w:p w14:paraId="07951265" w14:textId="77777777" w:rsidR="009E5696" w:rsidRPr="00D42EB5" w:rsidRDefault="00273474">
      <w:pPr>
        <w:spacing w:before="100" w:after="100"/>
      </w:pPr>
      <w:r w:rsidRPr="00D42EB5">
        <w:t>Determining the Market Investable Equity Universes</w:t>
      </w:r>
    </w:p>
    <w:p w14:paraId="7CEF6915" w14:textId="77777777" w:rsidR="009E5696" w:rsidRPr="00D42EB5" w:rsidRDefault="00273474">
      <w:pPr>
        <w:spacing w:before="100" w:after="100"/>
      </w:pPr>
      <w:r w:rsidRPr="00D42EB5">
        <w:t>A market investable equity universe for a market is derived by (i) identifying eligible listings for each security in the equity universe; and (ii) applying investability screens to individual companies and securities in the equity universe that are classified in that market. A market is generally equivalent to a single country. The global investable equity universe is the aggregation of all market investable equity universes.</w:t>
      </w:r>
    </w:p>
    <w:p w14:paraId="079F33E8" w14:textId="77777777" w:rsidR="009E5696" w:rsidRPr="00D42EB5" w:rsidRDefault="00273474">
      <w:pPr>
        <w:pStyle w:val="Numeral2"/>
        <w:spacing w:before="100" w:after="100"/>
        <w:rPr>
          <w:sz w:val="20"/>
          <w:szCs w:val="20"/>
        </w:rPr>
      </w:pPr>
      <w:r w:rsidRPr="00D42EB5">
        <w:rPr>
          <w:rFonts w:ascii="Arial" w:eastAsia="Arial" w:hAnsi="Arial"/>
          <w:sz w:val="20"/>
          <w:szCs w:val="20"/>
        </w:rPr>
        <w:t xml:space="preserve">Identifying Eligible Listings: A security may have a listing in the country where it is classified (a “local listing”) and/or in a different country (a “foreign listing”). A security may be represented by either a local listing or a </w:t>
      </w:r>
      <w:r w:rsidRPr="00D42EB5">
        <w:rPr>
          <w:rFonts w:ascii="Arial" w:eastAsia="Arial" w:hAnsi="Arial"/>
          <w:sz w:val="20"/>
          <w:szCs w:val="20"/>
        </w:rPr>
        <w:lastRenderedPageBreak/>
        <w:t>foreign listing (including a depositary receipt) in the global investable equity universe.  A security may be represented by a foreign listing only if the security is classified in a country that meets the foreign listing materiality requirement (as described below), and the security’s foreign listing is traded on an eligible stock exchange of a developed market country if the security is classified in a developed market country or, if the security is classified in an emerging market country, an eligible stock exchange of a developed market country or an emerging market country.</w:t>
      </w:r>
    </w:p>
    <w:p w14:paraId="019706B4" w14:textId="77777777" w:rsidR="009E5696" w:rsidRPr="00D42EB5" w:rsidRDefault="00273474">
      <w:pPr>
        <w:spacing w:before="100" w:after="100"/>
      </w:pPr>
      <w:r w:rsidRPr="00D42EB5">
        <w:t>In order for a country to meet the foreign listing materiality requirement, the following is determined: all securities represented by a foreign listing that would be included in the country’s MSCI Country Investable Market Index if foreign listings were eligible from that country. The aggregate free-float adjusted market capitalization for all such securities should represent at least (i) 5% of the free float-adjusted market capitalization of the relevant MSCI Country Investable Market Index and (ii) 0.05% of the free-float adjusted market capitalization of the MSCI ACWI Investable Market Index. If a country does not meet the foreign listing materiality requirement, then securities in that country may not be represented by a foreign listing in the global investable equity universe.</w:t>
      </w:r>
    </w:p>
    <w:p w14:paraId="19E8DC71" w14:textId="77777777" w:rsidR="009E5696" w:rsidRPr="00D42EB5" w:rsidRDefault="00273474">
      <w:pPr>
        <w:pStyle w:val="Numeral2"/>
        <w:spacing w:before="100" w:after="100"/>
        <w:rPr>
          <w:sz w:val="20"/>
          <w:szCs w:val="20"/>
        </w:rPr>
      </w:pPr>
      <w:r w:rsidRPr="00D42EB5">
        <w:rPr>
          <w:rFonts w:ascii="Arial" w:eastAsia="Arial" w:hAnsi="Arial"/>
          <w:sz w:val="20"/>
          <w:szCs w:val="20"/>
        </w:rPr>
        <w:t>Applying Investability Screens: The investability screens used to determine the investable equity universe in each market are:</w:t>
      </w:r>
    </w:p>
    <w:p w14:paraId="155DA59C" w14:textId="77777777" w:rsidR="009E5696" w:rsidRPr="00D42EB5" w:rsidRDefault="00273474">
      <w:pPr>
        <w:pStyle w:val="Letter1"/>
        <w:spacing w:before="100" w:after="100"/>
        <w:rPr>
          <w:sz w:val="20"/>
          <w:szCs w:val="20"/>
        </w:rPr>
      </w:pPr>
      <w:r w:rsidRPr="00D42EB5">
        <w:rPr>
          <w:rFonts w:ascii="Arial" w:eastAsia="Arial" w:hAnsi="Arial"/>
          <w:sz w:val="20"/>
          <w:szCs w:val="20"/>
        </w:rPr>
        <w:t>Equity Universe Minimum Size Requirement: This investability screen is applied at the company level. In order to be included in a market investable equity universe, a company must have the required minimum full market capitalization. The equity universe minimum size requirement applies to companies in all markets and is derived as follows:</w:t>
      </w:r>
    </w:p>
    <w:p w14:paraId="44A70662" w14:textId="77777777" w:rsidR="009E5696" w:rsidRPr="00D42EB5" w:rsidRDefault="00273474">
      <w:pPr>
        <w:pStyle w:val="Bullet1"/>
        <w:spacing w:before="100" w:after="100"/>
        <w:rPr>
          <w:sz w:val="20"/>
          <w:szCs w:val="20"/>
        </w:rPr>
      </w:pPr>
      <w:r w:rsidRPr="00D42EB5">
        <w:rPr>
          <w:rFonts w:ascii="Arial" w:eastAsia="Arial" w:hAnsi="Arial"/>
          <w:sz w:val="20"/>
          <w:szCs w:val="20"/>
        </w:rPr>
        <w:t>First, the companies in the developed market equity universe are sorted in descending order of full market capitalization and the cumulative coverage of the free float-adjusted market capitalization of the developed market equity universe is calculated for each company. Each company’s free float-adjusted market capitalization is represented by the aggregation of the free float-adjusted market capitalization of the securities of that company in the equity universe.</w:t>
      </w:r>
    </w:p>
    <w:p w14:paraId="56ACC257" w14:textId="77777777" w:rsidR="009E5696" w:rsidRPr="00D42EB5" w:rsidRDefault="00273474">
      <w:pPr>
        <w:pStyle w:val="Bullet1"/>
        <w:spacing w:before="100" w:after="100"/>
        <w:rPr>
          <w:sz w:val="20"/>
          <w:szCs w:val="20"/>
        </w:rPr>
      </w:pPr>
      <w:r w:rsidRPr="00D42EB5">
        <w:rPr>
          <w:rFonts w:ascii="Arial" w:eastAsia="Arial" w:hAnsi="Arial"/>
          <w:sz w:val="20"/>
          <w:szCs w:val="20"/>
        </w:rPr>
        <w:t>Second, when the cumulative free float-adjusted market capitalization coverage of 99% of the sorted equity universe is achieved, by adding each company’s free float-adjusted market capitalization in descending order, the full market capitalization of the company that reaches the 99% threshold defines the equity universe minimum size requirement.</w:t>
      </w:r>
    </w:p>
    <w:p w14:paraId="3CA878F2" w14:textId="77777777" w:rsidR="009E5696" w:rsidRPr="00D42EB5" w:rsidRDefault="00273474">
      <w:pPr>
        <w:pStyle w:val="Bullet1"/>
        <w:spacing w:before="100" w:after="100"/>
        <w:rPr>
          <w:sz w:val="20"/>
          <w:szCs w:val="20"/>
        </w:rPr>
      </w:pPr>
      <w:r w:rsidRPr="00D42EB5">
        <w:rPr>
          <w:rFonts w:ascii="Arial" w:eastAsia="Arial" w:hAnsi="Arial"/>
          <w:sz w:val="20"/>
          <w:szCs w:val="20"/>
        </w:rPr>
        <w:t>The rank of this company by descending order of full market capitalization within the developed market equity universe is noted, and will be used in determining the equity universe minimum size requirement at the next rebalance.</w:t>
      </w:r>
    </w:p>
    <w:p w14:paraId="2634A0A0" w14:textId="77777777" w:rsidR="009E5696" w:rsidRPr="00D42EB5" w:rsidRDefault="00273474">
      <w:pPr>
        <w:spacing w:before="100" w:after="100"/>
      </w:pPr>
      <w:r w:rsidRPr="00D42EB5">
        <w:t>As of February 2024, the equity universe minimum size requirement was set at US$323,000,000 for the Developed and Emerging Markets. Companies with a full market capitalization below this level are not included in any market investable equity universe. The equity universe minimum size requirement is reviewed and, if necessary, revised at each quarterly index review, as described below.</w:t>
      </w:r>
    </w:p>
    <w:p w14:paraId="4C02E341" w14:textId="77777777" w:rsidR="009E5696" w:rsidRPr="00D42EB5" w:rsidRDefault="00273474">
      <w:pPr>
        <w:pStyle w:val="Letter1"/>
        <w:spacing w:before="100" w:after="100"/>
        <w:rPr>
          <w:sz w:val="20"/>
          <w:szCs w:val="20"/>
        </w:rPr>
      </w:pPr>
      <w:r w:rsidRPr="00D42EB5">
        <w:rPr>
          <w:rFonts w:ascii="Arial" w:eastAsia="Arial" w:hAnsi="Arial"/>
          <w:sz w:val="20"/>
          <w:szCs w:val="20"/>
        </w:rPr>
        <w:t>Equity Universe Minimum Free Float-Adjusted Market Capitalization Requirement: This investability screen is applied at the individual security level. To be eligible for inclusion in a market investable equity universe, a security must have a free float-adjusted market capitalization equal to or higher than 50% of the equity universe minimum size requirement.</w:t>
      </w:r>
    </w:p>
    <w:p w14:paraId="25D5193E" w14:textId="77777777" w:rsidR="009E5696" w:rsidRPr="00D42EB5" w:rsidRDefault="00273474">
      <w:pPr>
        <w:pStyle w:val="Letter1"/>
        <w:spacing w:before="100" w:after="100"/>
        <w:rPr>
          <w:sz w:val="20"/>
          <w:szCs w:val="20"/>
        </w:rPr>
      </w:pPr>
      <w:r w:rsidRPr="00D42EB5">
        <w:rPr>
          <w:rFonts w:ascii="Arial" w:eastAsia="Arial" w:hAnsi="Arial"/>
          <w:sz w:val="20"/>
          <w:szCs w:val="20"/>
        </w:rPr>
        <w:t>Minimum Liquidity Requirement: This investability screen is applied at the individual security level. To be eligible for inclusion in a market investable equity universe, a security must have at least one eligible listing that has adequate liquidity as measured by its 12-month and 3-month annualized traded value ratio (“ATVR”) and 3-month frequency of trading. The ATVR attempts to mitigate the impact of extreme daily trading volumes and takes into account the free float-adjusted market capitalization of securities. A minimum liquidity level of 20% of the 3-month ATVR and 90% of 3-month frequency of trading over the last 4 consecutive quarters, as well as 20% of the 12-month ATVR, are required for inclusion of a security in a market investable equity universe of a developed market. A minimum liquidity level of 15% of the 3-month ATVR and 80% of 3-month frequency of trading over the last 4 consecutive quarters, as well as 15% of the 12-month ATVR, are required for inclusion of a security in a market investable equity universe of an emerging market. Securities in the MSCI China equity universe will not be eligible for inclusion in the MSCI Emerging Markets Index if the security is suspended or has been suspended for 50 consecutive business days or more in the past 12 months.</w:t>
      </w:r>
    </w:p>
    <w:p w14:paraId="7B363730" w14:textId="77777777" w:rsidR="009E5696" w:rsidRPr="00D42EB5" w:rsidRDefault="00273474">
      <w:pPr>
        <w:spacing w:before="100" w:after="100"/>
      </w:pPr>
      <w:r w:rsidRPr="00D42EB5">
        <w:t xml:space="preserve">Only one listing per security may be included in the market investable equity universe. In instances where a security has two or more eligible listings that meet the above liquidity requirements, then the following priority rules </w:t>
      </w:r>
      <w:r w:rsidRPr="00D42EB5">
        <w:lastRenderedPageBreak/>
        <w:t>are used to determine which listing will be used for potential inclusion of the security in the market investable equity universe:</w:t>
      </w:r>
    </w:p>
    <w:p w14:paraId="69F01A35" w14:textId="77777777" w:rsidR="009E5696" w:rsidRPr="00D42EB5" w:rsidRDefault="00273474">
      <w:pPr>
        <w:pStyle w:val="Number1"/>
        <w:spacing w:before="100" w:after="100"/>
        <w:rPr>
          <w:sz w:val="20"/>
          <w:szCs w:val="20"/>
        </w:rPr>
      </w:pPr>
      <w:r w:rsidRPr="00D42EB5">
        <w:rPr>
          <w:rFonts w:ascii="Arial" w:eastAsia="Arial" w:hAnsi="Arial"/>
          <w:sz w:val="20"/>
          <w:szCs w:val="20"/>
        </w:rPr>
        <w:t>Local listing (if the security has two or more local listings, then the listing with the highest 3-month ATVR will be used).</w:t>
      </w:r>
    </w:p>
    <w:p w14:paraId="3B2A4124" w14:textId="77777777" w:rsidR="009E5696" w:rsidRPr="00D42EB5" w:rsidRDefault="00273474">
      <w:pPr>
        <w:pStyle w:val="Number1"/>
        <w:spacing w:before="100" w:after="100"/>
        <w:rPr>
          <w:sz w:val="20"/>
          <w:szCs w:val="20"/>
        </w:rPr>
      </w:pPr>
      <w:r w:rsidRPr="00D42EB5">
        <w:rPr>
          <w:rFonts w:ascii="Arial" w:eastAsia="Arial" w:hAnsi="Arial"/>
          <w:sz w:val="20"/>
          <w:szCs w:val="20"/>
        </w:rPr>
        <w:t>Foreign listing in the same geographical region (MSCI classifies markets into three main geographical regions: EMEA, Asia Pacific and Americas.  If the security has two or more foreign listings in the same geographical region, then the listing with the highest 3-month ATVR will be used).</w:t>
      </w:r>
    </w:p>
    <w:p w14:paraId="5F11CC68" w14:textId="77777777" w:rsidR="009E5696" w:rsidRPr="00D42EB5" w:rsidRDefault="00273474">
      <w:pPr>
        <w:pStyle w:val="Number1"/>
        <w:spacing w:before="100" w:after="100"/>
        <w:rPr>
          <w:sz w:val="20"/>
          <w:szCs w:val="20"/>
        </w:rPr>
      </w:pPr>
      <w:r w:rsidRPr="00D42EB5">
        <w:rPr>
          <w:rFonts w:ascii="Arial" w:eastAsia="Arial" w:hAnsi="Arial"/>
          <w:sz w:val="20"/>
          <w:szCs w:val="20"/>
        </w:rPr>
        <w:t>Foreign listing in a different geographical region (if the security has two or more foreign listings in a different geographical region, then the listing with the highest 3-month ATVR will be used).</w:t>
      </w:r>
    </w:p>
    <w:p w14:paraId="48DB92D0" w14:textId="77777777" w:rsidR="009E5696" w:rsidRPr="00D42EB5" w:rsidRDefault="00273474">
      <w:pPr>
        <w:spacing w:before="100" w:after="100"/>
      </w:pPr>
      <w:r w:rsidRPr="00D42EB5">
        <w:t>Due to liquidity concerns relating to securities trading at very high stock prices, a security that is currently not a constituent of a MSCI Global Investable Markets Index that is trading at a stock price above US$10,000 will fail the liquidity screening and will not be included in any market investable equity universe.</w:t>
      </w:r>
    </w:p>
    <w:p w14:paraId="2A9C1805" w14:textId="77777777" w:rsidR="009E5696" w:rsidRPr="00D42EB5" w:rsidRDefault="00273474">
      <w:pPr>
        <w:pStyle w:val="Letter1"/>
        <w:spacing w:before="100" w:after="100"/>
        <w:rPr>
          <w:sz w:val="20"/>
          <w:szCs w:val="20"/>
        </w:rPr>
      </w:pPr>
      <w:r w:rsidRPr="00D42EB5">
        <w:rPr>
          <w:rFonts w:ascii="Arial" w:eastAsia="Arial" w:hAnsi="Arial"/>
          <w:sz w:val="20"/>
          <w:szCs w:val="20"/>
        </w:rPr>
        <w:t>Global Minimum Foreign Inclusion Factor Requirement: This investability screen is applied at the individual security level. To determine the free float of a security, MSCI considers the proportion of shares of such security available for purchase in the public equity markets by international investors. In practice, limitations on the investment opportunities for international investors include: strategic stakes in a company held by private or public shareholders whose investment objective indicates that the shares held are not likely to be available in the market; limits on the proportion of a security’s share capital authorized for purchase by non-domestic investors; or other foreign investment restrictions which materially limit the ability of foreign investors to freely invest in a particular equity market, sector or security.</w:t>
      </w:r>
    </w:p>
    <w:p w14:paraId="41524538" w14:textId="77777777" w:rsidR="009E5696" w:rsidRPr="00D42EB5" w:rsidRDefault="00273474">
      <w:pPr>
        <w:spacing w:before="100" w:after="100"/>
      </w:pPr>
      <w:r w:rsidRPr="00D42EB5">
        <w:t>MSCI will then derive a “foreign inclusion factor” for the company that reflects the proportion of shares outstanding that is available for purchase in the public equity markets by international investors. MSCI will then “float-adjust” the weight of each constituent company in an index by the company’s foreign inclusion factor.</w:t>
      </w:r>
    </w:p>
    <w:p w14:paraId="0C36412D" w14:textId="77777777" w:rsidR="009E5696" w:rsidRPr="00D42EB5" w:rsidRDefault="00273474">
      <w:pPr>
        <w:spacing w:before="100" w:after="100"/>
      </w:pPr>
      <w:r w:rsidRPr="00D42EB5">
        <w:t>Once the free float factor has been determined for a security, the security’s total market capitalization is then adjusted by such free float factor, resulting in the free float-adjusted market capitalization figure for the security.</w:t>
      </w:r>
    </w:p>
    <w:p w14:paraId="186F07EF" w14:textId="77777777" w:rsidR="009E5696" w:rsidRPr="00D42EB5" w:rsidRDefault="00273474">
      <w:pPr>
        <w:pStyle w:val="Letter1"/>
        <w:spacing w:before="100" w:after="100"/>
        <w:rPr>
          <w:sz w:val="20"/>
          <w:szCs w:val="20"/>
        </w:rPr>
      </w:pPr>
      <w:r w:rsidRPr="00D42EB5">
        <w:rPr>
          <w:rFonts w:ascii="Arial" w:eastAsia="Arial" w:hAnsi="Arial"/>
          <w:sz w:val="20"/>
          <w:szCs w:val="20"/>
        </w:rPr>
        <w:t>Minimum Length of Trading Requirement: This investability screen is applied at the individual security level. For an initial public offering to be eligible for inclusion in a market investable equity universe, the new issue must have started trading at least three months before the implementation of a quarterly index review. This requirement is applicable to small new issues in all markets. Large initial public offerings are not subject to the minimum length of trading requirement and may be included in a market investable equity universe and a standard index, such as the MSCI EAFE</w:t>
      </w:r>
      <w:r w:rsidRPr="00D42EB5">
        <w:rPr>
          <w:sz w:val="20"/>
          <w:szCs w:val="20"/>
          <w:vertAlign w:val="superscript"/>
        </w:rPr>
        <w:t>®</w:t>
      </w:r>
      <w:r w:rsidRPr="00D42EB5">
        <w:rPr>
          <w:sz w:val="20"/>
          <w:szCs w:val="20"/>
        </w:rPr>
        <w:t xml:space="preserve"> Index, outside of a quarterly index review.</w:t>
      </w:r>
    </w:p>
    <w:p w14:paraId="76901238" w14:textId="77777777" w:rsidR="009E5696" w:rsidRPr="00D42EB5" w:rsidRDefault="00273474">
      <w:pPr>
        <w:pStyle w:val="Letter1"/>
        <w:spacing w:before="100" w:after="100"/>
        <w:rPr>
          <w:sz w:val="20"/>
          <w:szCs w:val="20"/>
        </w:rPr>
      </w:pPr>
      <w:r w:rsidRPr="00D42EB5">
        <w:rPr>
          <w:rFonts w:ascii="Arial" w:eastAsia="Arial" w:hAnsi="Arial"/>
          <w:sz w:val="20"/>
          <w:szCs w:val="20"/>
        </w:rPr>
        <w:t>Minimum Foreign Room Requirement: This investability screen is applied at the individual security level. For a security that is subject to a foreign ownership limit to be eligible for inclusion in a market investable equity universe, the proportion of shares still available to foreign investors relative to the maximum allowed (referred to as “foreign room”) must be at least 15%.</w:t>
      </w:r>
    </w:p>
    <w:p w14:paraId="1017E99B" w14:textId="77777777" w:rsidR="009E5696" w:rsidRPr="00D42EB5" w:rsidRDefault="00273474">
      <w:pPr>
        <w:pStyle w:val="Letter1"/>
        <w:spacing w:before="100" w:after="100"/>
        <w:rPr>
          <w:sz w:val="20"/>
          <w:szCs w:val="20"/>
        </w:rPr>
      </w:pPr>
      <w:r w:rsidRPr="00D42EB5">
        <w:rPr>
          <w:rFonts w:ascii="Arial" w:eastAsia="Arial" w:hAnsi="Arial"/>
          <w:sz w:val="20"/>
          <w:szCs w:val="20"/>
        </w:rPr>
        <w:t>Financial Reporting Requirement: For any companies classified as belonging to the United States, the company must file a Form 10-K/10-Q to be eligible for inclusion in the USA investable equity universe.</w:t>
      </w:r>
    </w:p>
    <w:p w14:paraId="00698B25" w14:textId="77777777" w:rsidR="009E5696" w:rsidRPr="00D42EB5" w:rsidRDefault="00273474">
      <w:pPr>
        <w:spacing w:before="100" w:after="100"/>
      </w:pPr>
      <w:r w:rsidRPr="00D42EB5">
        <w:t>Determining Market Capitalization Size Segments for Each Market</w:t>
      </w:r>
    </w:p>
    <w:p w14:paraId="6C0BC7E1" w14:textId="77777777" w:rsidR="009E5696" w:rsidRPr="00D42EB5" w:rsidRDefault="00273474">
      <w:pPr>
        <w:spacing w:before="100" w:after="100"/>
      </w:pPr>
      <w:r w:rsidRPr="00D42EB5">
        <w:t>Once a market investable equity universe is defined, it is segmented into the following size-based indices:</w:t>
      </w:r>
    </w:p>
    <w:p w14:paraId="1B0000D9" w14:textId="77777777" w:rsidR="009E5696" w:rsidRPr="00D42EB5" w:rsidRDefault="00273474">
      <w:pPr>
        <w:pStyle w:val="Bullet2"/>
        <w:spacing w:before="100" w:after="100"/>
        <w:rPr>
          <w:sz w:val="20"/>
          <w:szCs w:val="20"/>
        </w:rPr>
      </w:pPr>
      <w:r w:rsidRPr="00D42EB5">
        <w:rPr>
          <w:rFonts w:ascii="Arial" w:eastAsia="Arial" w:hAnsi="Arial"/>
          <w:sz w:val="20"/>
          <w:szCs w:val="20"/>
        </w:rPr>
        <w:t>Investable Market Index (Large Cap + Mid Cap + Small Cap)</w:t>
      </w:r>
    </w:p>
    <w:p w14:paraId="6A2D3B4D" w14:textId="77777777" w:rsidR="009E5696" w:rsidRPr="00D42EB5" w:rsidRDefault="00273474">
      <w:pPr>
        <w:pStyle w:val="Bullet2"/>
        <w:spacing w:before="100" w:after="100"/>
        <w:rPr>
          <w:sz w:val="20"/>
          <w:szCs w:val="20"/>
        </w:rPr>
      </w:pPr>
      <w:r w:rsidRPr="00D42EB5">
        <w:rPr>
          <w:rFonts w:ascii="Arial" w:eastAsia="Arial" w:hAnsi="Arial"/>
          <w:sz w:val="20"/>
          <w:szCs w:val="20"/>
        </w:rPr>
        <w:t>Standard Index (Large Cap + Mid Cap)</w:t>
      </w:r>
    </w:p>
    <w:p w14:paraId="6448FB32" w14:textId="77777777" w:rsidR="009E5696" w:rsidRPr="00D42EB5" w:rsidRDefault="00273474">
      <w:pPr>
        <w:pStyle w:val="Bullet2"/>
        <w:spacing w:before="100" w:after="100"/>
        <w:rPr>
          <w:sz w:val="20"/>
          <w:szCs w:val="20"/>
        </w:rPr>
      </w:pPr>
      <w:r w:rsidRPr="00D42EB5">
        <w:rPr>
          <w:rFonts w:ascii="Arial" w:eastAsia="Arial" w:hAnsi="Arial"/>
          <w:sz w:val="20"/>
          <w:szCs w:val="20"/>
        </w:rPr>
        <w:t>Large Cap Index</w:t>
      </w:r>
    </w:p>
    <w:p w14:paraId="5ED9A187" w14:textId="77777777" w:rsidR="009E5696" w:rsidRPr="00D42EB5" w:rsidRDefault="00273474">
      <w:pPr>
        <w:pStyle w:val="Bullet2"/>
        <w:spacing w:before="100" w:after="100"/>
        <w:rPr>
          <w:sz w:val="20"/>
          <w:szCs w:val="20"/>
        </w:rPr>
      </w:pPr>
      <w:r w:rsidRPr="00D42EB5">
        <w:rPr>
          <w:rFonts w:ascii="Arial" w:eastAsia="Arial" w:hAnsi="Arial"/>
          <w:sz w:val="20"/>
          <w:szCs w:val="20"/>
        </w:rPr>
        <w:t>Mid Cap Index</w:t>
      </w:r>
    </w:p>
    <w:p w14:paraId="5E169541" w14:textId="77777777" w:rsidR="009E5696" w:rsidRPr="00D42EB5" w:rsidRDefault="00273474">
      <w:pPr>
        <w:pStyle w:val="Bullet2"/>
        <w:spacing w:before="100" w:after="100"/>
        <w:rPr>
          <w:sz w:val="20"/>
          <w:szCs w:val="20"/>
        </w:rPr>
      </w:pPr>
      <w:r w:rsidRPr="00D42EB5">
        <w:rPr>
          <w:rFonts w:ascii="Arial" w:eastAsia="Arial" w:hAnsi="Arial"/>
          <w:sz w:val="20"/>
          <w:szCs w:val="20"/>
        </w:rPr>
        <w:t>Small Cap Index</w:t>
      </w:r>
    </w:p>
    <w:p w14:paraId="2368B6F5" w14:textId="77777777" w:rsidR="009E5696" w:rsidRPr="00D42EB5" w:rsidRDefault="00273474">
      <w:pPr>
        <w:spacing w:before="100" w:after="100"/>
      </w:pPr>
      <w:r w:rsidRPr="00D42EB5">
        <w:t>Creating the size segment indices in each market involves the following steps: (i) defining the market coverage target range for each size segment; (ii) determining the global minimum size range for each size segment; (iii) determining the market size segment cutoffs and associated segment number of companies; (iv) assigning companies to the size segments; and (v) applying final size-segment investability requirements. For developed market indices, the market coverage for a standard index is 85%. As of October 2023, the global minimum size range for a developed market standard index is a full market capitalization of USD 4.35 billion to USD 10.01 billion.</w:t>
      </w:r>
    </w:p>
    <w:p w14:paraId="033F8E67" w14:textId="77777777" w:rsidR="009E5696" w:rsidRPr="00D42EB5" w:rsidRDefault="00273474">
      <w:pPr>
        <w:spacing w:before="100" w:after="100"/>
      </w:pPr>
      <w:r w:rsidRPr="00D42EB5">
        <w:lastRenderedPageBreak/>
        <w:t>Index Continuity Rules for Standard Indices</w:t>
      </w:r>
    </w:p>
    <w:p w14:paraId="3846BE24" w14:textId="77777777" w:rsidR="009E5696" w:rsidRPr="00D42EB5" w:rsidRDefault="00273474">
      <w:pPr>
        <w:spacing w:before="100" w:after="100"/>
      </w:pPr>
      <w:r w:rsidRPr="00D42EB5">
        <w:t>In order to achieve index continuity, as well as provide some basic level of diversification within a market index, notwithstanding the effect of other index construction rules, a minimum number of five constituents will be maintained for a developed market standard index and a minimum number of three constituents will be maintained for an emerging market standard index, and involves the following steps:</w:t>
      </w:r>
    </w:p>
    <w:p w14:paraId="0CF931D1" w14:textId="77777777" w:rsidR="009E5696" w:rsidRPr="00D42EB5" w:rsidRDefault="00273474">
      <w:pPr>
        <w:pStyle w:val="Bullet2"/>
        <w:spacing w:before="100" w:after="100"/>
        <w:rPr>
          <w:sz w:val="20"/>
          <w:szCs w:val="20"/>
        </w:rPr>
      </w:pPr>
      <w:r w:rsidRPr="00D42EB5">
        <w:rPr>
          <w:rFonts w:ascii="Arial" w:eastAsia="Arial" w:hAnsi="Arial"/>
          <w:sz w:val="20"/>
          <w:szCs w:val="20"/>
        </w:rPr>
        <w:t>If after the application of the index construction methodology, a developed market standard index contains fewer than five securities or an emerging market standard index contains fewer than three securities, then the largest securities by free float-adjusted market capitalization are added to the MSCI EAFE</w:t>
      </w:r>
      <w:r w:rsidRPr="00D42EB5">
        <w:rPr>
          <w:sz w:val="20"/>
          <w:szCs w:val="20"/>
          <w:vertAlign w:val="superscript"/>
        </w:rPr>
        <w:t>®</w:t>
      </w:r>
      <w:r w:rsidRPr="00D42EB5">
        <w:rPr>
          <w:sz w:val="20"/>
          <w:szCs w:val="20"/>
        </w:rPr>
        <w:t xml:space="preserve"> Index in order to reach the minimum number of required constituents.</w:t>
      </w:r>
    </w:p>
    <w:p w14:paraId="4EF8D506" w14:textId="77777777" w:rsidR="009E5696" w:rsidRPr="00D42EB5" w:rsidRDefault="00273474">
      <w:pPr>
        <w:pStyle w:val="Bullet2"/>
        <w:spacing w:before="100" w:after="100"/>
        <w:rPr>
          <w:sz w:val="20"/>
          <w:szCs w:val="20"/>
        </w:rPr>
      </w:pPr>
      <w:r w:rsidRPr="00D42EB5">
        <w:rPr>
          <w:rFonts w:ascii="Arial" w:eastAsia="Arial" w:hAnsi="Arial"/>
          <w:sz w:val="20"/>
          <w:szCs w:val="20"/>
        </w:rPr>
        <w:t>At subsequent quarterly MSCI EAFE</w:t>
      </w:r>
      <w:r w:rsidRPr="00D42EB5">
        <w:rPr>
          <w:sz w:val="20"/>
          <w:szCs w:val="20"/>
          <w:vertAlign w:val="superscript"/>
        </w:rPr>
        <w:t>®</w:t>
      </w:r>
      <w:r w:rsidRPr="00D42EB5">
        <w:rPr>
          <w:sz w:val="20"/>
          <w:szCs w:val="20"/>
        </w:rPr>
        <w:t xml:space="preserve"> Index reviews, if the minimum number of securities described above is not met, then after the market investable equity universe is identified, the securities are ranked by free float-adjusted market capitalization, however, in order to increase stability the free float-adjusted market capitalization of the existing index constituents (prior to review) is multiplied by 1.50, and securities are added until the desired minimum number of securities is reached.</w:t>
      </w:r>
    </w:p>
    <w:p w14:paraId="3B112690" w14:textId="77777777" w:rsidR="009E5696" w:rsidRPr="00D42EB5" w:rsidRDefault="00273474">
      <w:pPr>
        <w:spacing w:before="100" w:after="100"/>
      </w:pPr>
      <w:r w:rsidRPr="00D42EB5">
        <w:t>Constituent index means any of the component country indices comprising the MSCI EAFE</w:t>
      </w:r>
      <w:r w:rsidRPr="00D42EB5">
        <w:rPr>
          <w:vertAlign w:val="superscript"/>
        </w:rPr>
        <w:t>®</w:t>
      </w:r>
      <w:r w:rsidRPr="00D42EB5">
        <w:t xml:space="preserve"> Index</w:t>
      </w:r>
    </w:p>
    <w:p w14:paraId="1C0144EC" w14:textId="77777777" w:rsidR="009E5696" w:rsidRPr="00D42EB5" w:rsidRDefault="00273474">
      <w:pPr>
        <w:spacing w:before="100" w:after="100"/>
      </w:pPr>
      <w:r w:rsidRPr="00D42EB5">
        <w:t>Classifying Securities under the Global Industry Classification Standard</w:t>
      </w:r>
    </w:p>
    <w:p w14:paraId="77BDC6B5" w14:textId="77777777" w:rsidR="009E5696" w:rsidRPr="00D42EB5" w:rsidRDefault="00273474">
      <w:pPr>
        <w:spacing w:before="100" w:after="100"/>
      </w:pPr>
      <w:r w:rsidRPr="00D42EB5">
        <w:t>All securities in the global investable equity universe are assigned to the industry that best describes their business activities. The GICS classification of each security is used by MSCI to construct additional indices.</w:t>
      </w:r>
    </w:p>
    <w:p w14:paraId="467CF7B4" w14:textId="77777777" w:rsidR="009E5696" w:rsidRPr="00D42EB5" w:rsidRDefault="00273474">
      <w:pPr>
        <w:spacing w:before="100" w:after="100"/>
      </w:pPr>
      <w:r w:rsidRPr="00D42EB5">
        <w:t>Calculation Methodology for the MSCI EAFE</w:t>
      </w:r>
      <w:r w:rsidRPr="00D42EB5">
        <w:rPr>
          <w:vertAlign w:val="superscript"/>
        </w:rPr>
        <w:t>®</w:t>
      </w:r>
      <w:r w:rsidRPr="00D42EB5">
        <w:t xml:space="preserve"> Index</w:t>
      </w:r>
    </w:p>
    <w:p w14:paraId="4337883C" w14:textId="77777777" w:rsidR="009E5696" w:rsidRPr="00D42EB5" w:rsidRDefault="00273474">
      <w:pPr>
        <w:spacing w:before="100" w:after="100"/>
      </w:pPr>
      <w:r w:rsidRPr="00D42EB5">
        <w:t>Price Return Methodology</w:t>
      </w:r>
    </w:p>
    <w:p w14:paraId="44724974" w14:textId="77777777" w:rsidR="009E5696" w:rsidRDefault="00273474">
      <w:pPr>
        <w:spacing w:before="100" w:after="100"/>
      </w:pPr>
      <w:r w:rsidRPr="00D42EB5">
        <w:t>The performance of the MSCI EAFE</w:t>
      </w:r>
      <w:r w:rsidRPr="00D42EB5">
        <w:rPr>
          <w:vertAlign w:val="superscript"/>
        </w:rPr>
        <w:t>®</w:t>
      </w:r>
      <w:r w:rsidRPr="00D42EB5">
        <w:t xml:space="preserve"> Index is a free float weighted average </w:t>
      </w:r>
      <w:r>
        <w:t>of the U.S. dollar values of its component securities.</w:t>
      </w:r>
    </w:p>
    <w:p w14:paraId="6F78B0F1" w14:textId="77777777" w:rsidR="009E5696" w:rsidRDefault="00273474">
      <w:pPr>
        <w:spacing w:before="100" w:after="100"/>
      </w:pPr>
      <w:r>
        <w:t>Prices used to calculate the component securities are the official exchange closing prices or prices accepted as such in the relevant market. In the case of a market closure, or if a security does not trade on a specific day or during a specific period, MSCI carries the latest available closing price. In the event of a market outage resulting in any component security price to be unavailable, MSCI will generally use the last reported price for such component security for the purpose of performance calculation. If MSCI determines that another price is more appropriate based on the circumstances, an announcement would be sent to clients with the related information. Closing prices are converted into U.S. dollars, as applicable, using the closing spot exchange rates calculated by WM/Refinitiv at 4:00 P.M. London Time.</w:t>
      </w:r>
    </w:p>
    <w:p w14:paraId="04290A89" w14:textId="77777777" w:rsidR="009E5696" w:rsidRDefault="00273474">
      <w:pPr>
        <w:spacing w:before="100" w:after="100"/>
      </w:pPr>
      <w:r>
        <w:t>Maintenance of the MSCI EAFE</w:t>
      </w:r>
      <w:r>
        <w:rPr>
          <w:vertAlign w:val="superscript"/>
        </w:rPr>
        <w:t>®</w:t>
      </w:r>
      <w:r>
        <w:t xml:space="preserve"> Index</w:t>
      </w:r>
    </w:p>
    <w:p w14:paraId="3585DC59" w14:textId="77777777" w:rsidR="009E5696" w:rsidRDefault="00273474">
      <w:pPr>
        <w:spacing w:before="100" w:after="100"/>
      </w:pPr>
      <w:r>
        <w:t>In order to maintain the representativeness of the MSCI Indices, structural changes may be made by adding or deleting component securities. Currently, such changes in the MSCI Indices may generally only be made on four dates throughout the year: after the close of the last business day of each February, May, August and November.</w:t>
      </w:r>
    </w:p>
    <w:p w14:paraId="6B630D1C" w14:textId="77777777" w:rsidR="009E5696" w:rsidRDefault="00273474">
      <w:pPr>
        <w:spacing w:before="100" w:after="100"/>
      </w:pPr>
      <w:r>
        <w:t>Each country index is maintained with the objective of reflecting, on a timely basis, the evolution of the underlying equity markets. In maintaining each component country index, emphasis is also placed on its continuity, continuous investability of constituents and replicability of the index and on index stability and minimizing turnover.</w:t>
      </w:r>
    </w:p>
    <w:p w14:paraId="51FACFA6" w14:textId="77777777" w:rsidR="009E5696" w:rsidRDefault="00273474">
      <w:pPr>
        <w:spacing w:before="100" w:after="100"/>
      </w:pPr>
      <w:r>
        <w:t>MSCI classifies index maintenance in three broad categories. The first consists of ongoing event related changes, such as mergers and acquisitions, which are generally implemented in the country indices in which they occur. The second category consists of light rebalancings, aimed at promptly reflecting other significant market events under conditions of market stress. The third category consists of quarterly index reviews that systematically re-assess the various dimensions of the equity universe.</w:t>
      </w:r>
    </w:p>
    <w:p w14:paraId="1DFD037A" w14:textId="77777777" w:rsidR="009E5696" w:rsidRDefault="00273474">
      <w:pPr>
        <w:spacing w:before="100" w:after="100"/>
      </w:pPr>
      <w:r>
        <w:t>Ongoing event-related changes to the MSCI EAFE</w:t>
      </w:r>
      <w:r>
        <w:rPr>
          <w:vertAlign w:val="superscript"/>
        </w:rPr>
        <w:t>®</w:t>
      </w:r>
      <w:r>
        <w:t xml:space="preserve"> Index are the result of mergers, acquisitions, spin-offs, bankruptcies, reorganizations and other similar corporate events. They can also result from capital reorganizations in the form of rights issues, stock bonus issues, public placements and other similar corporate actions that take place on a continuing basis. MSCI will remove from the index as soon as practicable securities of companies that file for bankruptcy or other protection from their creditors, that are suspended and for which a return to normal business activity and trading is unlikely in the near future, or that fail stock exchange listing requirements with a delisting announcement. Securities may also be considered for early deletion in other significant cases, such as decreases in free float and foreign ownership limits, or when a constituent company acquires or merges with a non-constituent company or spins-off another company. In practice, when a constituent company is involved in a corporate event which results in a significant decrease in the company’s free float-adjusted market capitalization or the company decreases its foreign inclusion factor to below 0.15, the securities of that constituent company are considered for early deletion from the indices simultaneously with the event unless, in either case, it is a standard index constituent with a minimum free float-adjusted market capitalization meeting at least two-thirds of 1.8 times </w:t>
      </w:r>
      <w:r>
        <w:lastRenderedPageBreak/>
        <w:t>one-half of the standard index interim size segment cut-off. Share conversions may also give rise to an early deletion. Changes in number of shares and foreign inclusion factors resulting from primary equity offerings representing at least 5% of the security’s pre-event number of shares are implemented as of the close of the first trading day of the new shares, if all necessary information is available at that time. Otherwise, the event is implemented as soon as practicable after the relevant information is made available. MSCI implements pending number of shares and/or free float updates simultaneously with the event, unless the change in number of shares is less than 1% on a post-event number of shares basis, in which case it will be implemented at a subsequent quarterly index review. Changes in the number of shares smaller than 5% are implemented at a subsequent quarterly index review. Secondary offerings/block sales with sizes representing at least 5% of the security’s pre-event number of shares are implemented at the time of the event. All changes resulting from corporate events are announced prior to their implementation, provided all necessary information on the event is available.</w:t>
      </w:r>
    </w:p>
    <w:p w14:paraId="0E7B0F94" w14:textId="77777777" w:rsidR="009E5696" w:rsidRDefault="00273474">
      <w:pPr>
        <w:spacing w:before="100" w:after="100"/>
      </w:pPr>
      <w:r>
        <w:t>MSCI’s light rebalancing process aims to ensure that the country indices continue to be an accurate reflection of evolving equity markets during conditions of market stress. This goal is achieved by timely reflecting significant market driven changes that were not captured in each index at the time of their actual occurrence and that should not wait until the quarterly index review due to their importance. MSCI will consider switching to a “light rebalancing” in place of the usual quarterly index review only if one of the following two conditions is met within the last ten business days of the month prior to the announcement date of a quarterly index review (the “market monitoring period”): (1) for any 3 days within the market monitoring period, the MSCI ACWI Index-weighted bid-ask spread breaches 0.19% and the MSCI ACWI Index volatility over the past 10 days breaks 0.55 or (2) there are unexpected full day or partial stock exchange closures impacting 20% of MSCI ACWI Index constituents cumulatively over the market monitoring period. The final decision of whether or not to switch to a “light rebalancing” will be taken by relevant MSCI index committee(s). These light rebalancings may result in additions and deletions of component securities from a country index (or a security being removed from one country listing and represented by a different country listing) and changes in “foreign inclusion factors” and in number of shares. Additions and deletions to component securities may result from: the addition of large companies that did not meet the minimum size criterion for inclusion at the time of their initial public offering or secondary offering; the replacement of companies which are no longer suitable industry representatives; the deletion of securities whose overall free float has fallen to less than 15% and that do not meet specified criteria; the deletion of securities that have become very small or illiquid; and the addition or deletion of securities as a result of other market events. During light rebalancings, foreign inclusion factors and number of shares will be reviewed as discussed below. MSCI has noted that consistency is a factor in maintaining each component country index.</w:t>
      </w:r>
    </w:p>
    <w:p w14:paraId="22115358" w14:textId="77777777" w:rsidR="009E5696" w:rsidRDefault="00273474">
      <w:pPr>
        <w:spacing w:before="100" w:after="100"/>
      </w:pPr>
      <w:r>
        <w:t>MSCI’s quarterly index review is designed to systematically reassess the component securities of the index. During each quarterly index review, the universe of component securities is updated and the global minimum size range for the index is recalculated, which is based on the full market capitalization and the cumulative free float-adjusted market capitalization coverage of each security that is eligible to be included in the index. The following index maintenance activities, among others, are undertaken during each quarterly index review: the list of countries in which securities may be represented by foreign listings is reviewed; the component securities are updated by identifying new equity securities that were not part of the index at the time of the previous quarterly index review; the minimum size requirement for the index is updated and new companies are evaluated relative to the new minimum size requirement; existing component securities that do not meet the minimum liquidity requirements of the index may be removed (or, with respect to any such security that has other listings, a determination is made as to whether any such listing can be used to represent the security in the market investable universe); changes in “foreign inclusion factors” are implemented (provided the change in free float is greater than 1%, except in cases of correction); and changes in number of shares are updated. During a quarterly index review, component securities may be added or deleted from a country index for a range of reasons, including the reasons discussed with respect to component securities changes during quarterly index reviews as discussed above. However, no changes in foreign inclusion factors are implemented if the change in free float estimate is less than 1%, except in cases of correction. As discussed above, small changes in the number of shares are generally updated at the quarterly index review rather than at the time of the event, provided that the absolute number of shares change is at least 1,000 shares or the relative number of shares change is at least 0.02%. Foreign listings may become eligible to represent securities only from the countries that met the foreign listing materiality requirement at least two quarterly index reviews prior (this requirement is applied only to countries that do not yet include foreign listed securities). Once a country meets the foreign listing materiality requirement at a given quarterly index review, foreign listings will remain eligible for such country even if the foreign listing materiality requirements are not met in the future.</w:t>
      </w:r>
    </w:p>
    <w:p w14:paraId="0DB721C0" w14:textId="77777777" w:rsidR="009E5696" w:rsidRDefault="00273474">
      <w:pPr>
        <w:spacing w:before="100" w:after="100"/>
      </w:pPr>
      <w:r>
        <w:t>The results of the quarterly index reviews are announced at least two weeks in advance of their effective implementation dates, which are generally set at the close of the last business day of February, May, August and November.</w:t>
      </w:r>
    </w:p>
    <w:p w14:paraId="459680DE" w14:textId="77777777" w:rsidR="009E5696" w:rsidRDefault="00273474">
      <w:pPr>
        <w:spacing w:before="100" w:after="100"/>
      </w:pPr>
      <w:r>
        <w:lastRenderedPageBreak/>
        <w:t>MSCI EAFE</w:t>
      </w:r>
      <w:r>
        <w:rPr>
          <w:vertAlign w:val="superscript"/>
        </w:rPr>
        <w:t>®</w:t>
      </w:r>
      <w:r>
        <w:t xml:space="preserve"> Index maintenance also includes monitoring and completing adjustments for share changes, stock splits, stock dividends, and stock price adjustments due to company restructurings or spin-offs as well as deleting constituents that enter ineligible alert boards.</w:t>
      </w:r>
    </w:p>
    <w:p w14:paraId="39DA8E61" w14:textId="77777777" w:rsidR="009E5696" w:rsidRDefault="00273474">
      <w:pPr>
        <w:spacing w:before="100" w:after="100"/>
      </w:pPr>
      <w:r>
        <w:t>These guidelines and the policies implementing the guidelines are the responsibility of, and, ultimately, subject to adjustment by, MSCI.</w:t>
      </w:r>
    </w:p>
    <w:p w14:paraId="1094EEE4" w14:textId="77777777" w:rsidR="009E5696" w:rsidRDefault="00273474">
      <w:pPr>
        <w:pStyle w:val="GSBody"/>
        <w:spacing w:before="120" w:after="120"/>
        <w:jc w:val="center"/>
      </w:pPr>
      <w:r>
        <w:rPr>
          <w:b/>
        </w:rPr>
        <w:t>Historical Closing Levels of the Underlier</w:t>
      </w:r>
    </w:p>
    <w:p w14:paraId="3C9D5787" w14:textId="53B2CFD1" w:rsidR="009E5696" w:rsidRDefault="00273474">
      <w:pPr>
        <w:pStyle w:val="GSBody"/>
        <w:spacing w:after="120"/>
      </w:pPr>
      <w:r>
        <w:t xml:space="preserve">The closing level of the Underlier has fluctuated in the past and may, in the future, experience significant fluctuations. </w:t>
      </w:r>
      <w:r>
        <w:rPr>
          <w:b/>
        </w:rPr>
        <w:t xml:space="preserve">In particular, the </w:t>
      </w:r>
      <w:r w:rsidR="00C52DF6">
        <w:rPr>
          <w:b/>
        </w:rPr>
        <w:t>U</w:t>
      </w:r>
      <w:r>
        <w:rPr>
          <w:b/>
        </w:rPr>
        <w:t xml:space="preserve">nderlier has recently experienced extreme and unusual volatility. </w:t>
      </w:r>
      <w:r>
        <w:t xml:space="preserve">Any historical upward or downward trend in the closing level of the Underlier during the period shown below is not an indication that </w:t>
      </w:r>
      <w:r w:rsidR="00C52DF6">
        <w:t>the</w:t>
      </w:r>
      <w:r>
        <w:t xml:space="preserve"> Underlier is more or less likely to increase or decrease at any time during the life of your notes.</w:t>
      </w:r>
    </w:p>
    <w:p w14:paraId="7B33A072" w14:textId="77777777" w:rsidR="009E5696" w:rsidRDefault="00273474">
      <w:pPr>
        <w:pStyle w:val="GSBody"/>
        <w:spacing w:after="120"/>
      </w:pPr>
      <w:r>
        <w:rPr>
          <w:b/>
        </w:rPr>
        <w:t xml:space="preserve">You should not take the historical levels of the Underlier as an indication of its future performance of an underlier, including because of the recent volatility described above. </w:t>
      </w:r>
      <w:r>
        <w:t>We cannot give you any assurance that the future performance of the Underlier or the Underlier Stocks will result in you receiving the outstanding face amount of your notes on the stated maturity date.</w:t>
      </w:r>
    </w:p>
    <w:p w14:paraId="069F1D6B" w14:textId="37D46894" w:rsidR="009E5696" w:rsidRDefault="00273474">
      <w:pPr>
        <w:pStyle w:val="GSBody"/>
        <w:spacing w:after="120"/>
      </w:pPr>
      <w:r>
        <w:t xml:space="preserve">Neither we nor any of our affiliates make any representation to you as to the performance of the Underlier. Before investing in the offered notes, you should consult publicly available information to determine the levels of the Underlier between the date of this pricing supplement and the date of your purchase of the offered notes </w:t>
      </w:r>
      <w:r>
        <w:rPr>
          <w:b/>
        </w:rPr>
        <w:t xml:space="preserve">and, given the recent volatility described above, you should pay particular attention to recent levels of the </w:t>
      </w:r>
      <w:r w:rsidR="00C52DF6">
        <w:rPr>
          <w:b/>
        </w:rPr>
        <w:t>U</w:t>
      </w:r>
      <w:r>
        <w:rPr>
          <w:b/>
        </w:rPr>
        <w:t>nderlier.</w:t>
      </w:r>
      <w:r>
        <w:t xml:space="preserve"> The actual performance of the Underlier over the life of the offered notes, as well as the Cash Settlement Amount, may bear little relation to the historical closing levels shown below.</w:t>
      </w:r>
    </w:p>
    <w:p w14:paraId="213849D8" w14:textId="7418E50A" w:rsidR="009E5696" w:rsidRDefault="00273474">
      <w:pPr>
        <w:pStyle w:val="GSBody"/>
        <w:spacing w:after="120"/>
      </w:pPr>
      <w:r>
        <w:t>The graph below shows the daily historical closing levels of the Underlier from January 4, 2021 through March 24, 2026. As a result, the following graph does not reflect the global financial crisis which began in 2008, which had a materially negative impact on the price of most equity securities and, as a result, the level of most equity indices. We obtained the closing levels in the graph below from Bloomberg Financial Services, without independent verification.</w:t>
      </w:r>
    </w:p>
    <w:p w14:paraId="358E25DD" w14:textId="3E25BF88" w:rsidR="00D42EB5" w:rsidRPr="00D42EB5" w:rsidRDefault="00D42EB5" w:rsidP="00D42EB5">
      <w:pPr>
        <w:spacing w:line="240" w:lineRule="auto"/>
        <w:rPr>
          <w:rFonts w:ascii="Aptos" w:eastAsia="Times New Roman" w:hAnsi="Aptos" w:cs="Calibri"/>
          <w:sz w:val="22"/>
          <w:szCs w:val="22"/>
        </w:rPr>
      </w:pPr>
    </w:p>
    <w:p w14:paraId="294F5545" w14:textId="77777777" w:rsidR="00D42EB5" w:rsidRPr="00D42EB5" w:rsidRDefault="00D42EB5" w:rsidP="00D42EB5">
      <w:pPr>
        <w:spacing w:line="240" w:lineRule="auto"/>
        <w:rPr>
          <w:rFonts w:ascii="Aptos" w:eastAsia="Times New Roman" w:hAnsi="Aptos" w:cs="Calibri"/>
          <w:sz w:val="22"/>
          <w:szCs w:val="22"/>
        </w:rPr>
      </w:pPr>
    </w:p>
    <w:p w14:paraId="63870491" w14:textId="77777777" w:rsidR="00D42EB5" w:rsidRPr="00D42EB5" w:rsidRDefault="00D42EB5" w:rsidP="00D42EB5">
      <w:pPr>
        <w:spacing w:line="240" w:lineRule="auto"/>
        <w:rPr>
          <w:rFonts w:ascii="Calibri" w:eastAsia="Times New Roman" w:hAnsi="Calibri" w:cs="Calibri"/>
          <w:sz w:val="22"/>
          <w:szCs w:val="22"/>
        </w:rPr>
      </w:pPr>
    </w:p>
    <w:p w14:paraId="6F6FA361" w14:textId="0DC4B22A" w:rsidR="00D42EB5" w:rsidRPr="00D42EB5" w:rsidRDefault="00D42EB5" w:rsidP="00D42EB5">
      <w:pPr>
        <w:pStyle w:val="GSBody"/>
        <w:spacing w:after="100"/>
        <w:jc w:val="center"/>
        <w:rPr>
          <w:b/>
        </w:rPr>
      </w:pPr>
      <w:r>
        <w:rPr>
          <w:noProof/>
        </w:rPr>
        <w:drawing>
          <wp:anchor distT="0" distB="0" distL="114300" distR="114300" simplePos="0" relativeHeight="251659264" behindDoc="0" locked="0" layoutInCell="1" allowOverlap="1" wp14:anchorId="6580C222" wp14:editId="5A63C916">
            <wp:simplePos x="0" y="0"/>
            <wp:positionH relativeFrom="margin">
              <wp:align>center</wp:align>
            </wp:positionH>
            <wp:positionV relativeFrom="paragraph">
              <wp:posOffset>338455</wp:posOffset>
            </wp:positionV>
            <wp:extent cx="5200015" cy="2818765"/>
            <wp:effectExtent l="0" t="0" r="635" b="635"/>
            <wp:wrapThrough wrapText="bothSides">
              <wp:wrapPolygon edited="0">
                <wp:start x="0" y="0"/>
                <wp:lineTo x="0" y="21459"/>
                <wp:lineTo x="21524" y="21459"/>
                <wp:lineTo x="21524" y="0"/>
                <wp:lineTo x="0" y="0"/>
              </wp:wrapPolygon>
            </wp:wrapThrough>
            <wp:docPr id="566374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015" cy="2818765"/>
                    </a:xfrm>
                    <a:prstGeom prst="rect">
                      <a:avLst/>
                    </a:prstGeom>
                    <a:noFill/>
                  </pic:spPr>
                </pic:pic>
              </a:graphicData>
            </a:graphic>
          </wp:anchor>
        </w:drawing>
      </w:r>
      <w:r w:rsidR="00273474">
        <w:rPr>
          <w:b/>
        </w:rPr>
        <w:t>Historical Performance of the MSCI EAFE® Index</w:t>
      </w:r>
    </w:p>
    <w:p w14:paraId="207E3580" w14:textId="77777777" w:rsidR="009E5696" w:rsidRDefault="00273474">
      <w:pPr>
        <w:keepNext/>
        <w:keepLines/>
        <w:spacing w:before="100" w:after="100"/>
      </w:pPr>
      <w:r>
        <w:rPr>
          <w:b/>
          <w:i/>
        </w:rPr>
        <w:lastRenderedPageBreak/>
        <w:t>License Agreement</w:t>
      </w:r>
    </w:p>
    <w:p w14:paraId="24D732CA" w14:textId="77777777" w:rsidR="009E5696" w:rsidRDefault="00273474">
      <w:pPr>
        <w:keepNext/>
        <w:keepLines/>
        <w:spacing w:before="100" w:after="100"/>
      </w:pPr>
      <w:r>
        <w:t>Our affiliate, Merrill Lynch, Pierce, Fenner &amp; Smith Incorporated has entered into a non-exclusive license agreement with MSCI whereby Merrill Lynch, Pierce, Fenner &amp; Smith Incorporated and certain of its affiliates, in exchange for a fee, are permitted to use the MSCI indices in connection with certain securities, including the notes. We are not affiliated with MSCI, the only relationship between MSCI and us is any licensing of the use of MSCI’s indices and trademarks relating to them.</w:t>
      </w:r>
    </w:p>
    <w:p w14:paraId="6EC42734" w14:textId="77777777" w:rsidR="009E5696" w:rsidRDefault="00273474">
      <w:pPr>
        <w:keepNext/>
        <w:keepLines/>
        <w:spacing w:before="100" w:after="100"/>
      </w:pPr>
      <w:r>
        <w:t>The license agreement provides that the following language must be set forth herein:</w:t>
      </w:r>
    </w:p>
    <w:p w14:paraId="7620DC17" w14:textId="77777777" w:rsidR="009E5696" w:rsidRDefault="00273474">
      <w:pPr>
        <w:keepNext/>
        <w:keepLines/>
        <w:spacing w:before="100" w:after="100"/>
      </w:pPr>
      <w:r>
        <w:t>THE NOTES ARE NOT SPONSORED, ENDORSED, SOLD, OR PROMOTED BY MSCI, ANY OF ITS AFFILIATES, ANY OF ITS INFORMATION PROVIDERS, OR ANY OTHER THIRD PARTY INVOLVED IN, OR RELATED TO, COMPILING, COMPUTING, OR CREATING THE MXEA INDEX (COLLECTIVELY, THE “MSCI PARTIES”). THE MXEA INDEX IS THE EXCLUSIVE PROPERTY OF MSCI. MSCI AND THE MXEA INDEX ARE SERVICE MARKS OF MSCI OR ITS AFFILIATES AND HAVE BEEN LICENSED TO US FOR USE FOR CERTAIN PURPOSES. THE NOTES HAVE NOT BEEN PASSED ON BY ANY OF THE MSCI PARTIES AS TO THEIR LEGALITY OR SUITABILITY WITH RESPECT TO ANY PERSON OR ENTITY AND NONE OF THE MSCI PARTIES MAKES ANY WARRANTIES OR BEARS ANY LIABILITY WITH RESPECT TO THE NOTES. WITHOUT LIMITING THE GENERALITY OF THE FOREGOING, NONE OF THE MSCI PARTIES MAKES ANY REPRESENTATION OR WARRANTY, EXPRESS OR IMPLIED, TO US OR OWNERS OF THE NOTES OR ANY OTHER PERSON OR ENTITY REGARDING THE ADVISABILITY OF INVESTING IN ANY SECURITIES GENERALLY OR IN THIS OFFERING PARTICULARLY OR THE ABILITY OF ANY MSCI INDEX TO TRACK CORRESPONDING STOCK MARKET PERFORMANCE. MSCI OR ITS AFFILIATES ARE THE LICENSORS OF CERTAIN TRADEMARKS, SERVICE MARKS, AND TRADE NAMES OF THE MXEA INDEX, WHICH ARE DETERMINED, COMPOSED, AND CALCULATED BY MSCI WITHOUT REGARD TO THE NOTES, TO US, TO THE OWNERS OF THE NOTES, OR TO ANY OTHER PERSON OR ENTITY. NONE OF THE MSCI PARTIES HAS ANY OBLIGATION TO TAKE THE NEEDS OF US OR OWNERS OF THE NOTES OR ANY OTHER PERSON OR ENTITY INTO CONSIDERATION IN DETERMINING, COMPOSING, OR CALCULATING THE MXEA INDEX. NONE OF THE MSCI PARTIES IS RESPONSIBLE FOR OR HAS PARTICIPATED IN THE DETERMINATION OF THE TIMING OF, PRICES AT, OR QUANTITIES OF THE NOTES TO BE ISSUED OR IN THE DETERMINATION OR CALCULATION OF THE AMOUNT THAT MAY BE PAID AT MATURITY ON THE NOTES. NONE OF THE MSCI PARTIES HAS ANY OBLIGATION OR LIABILITY TO US OR TO OWNERS OF THE NOTES OR ANY OTHER PERSON OR ENTITY IN CONNECTION WITH THE ADMINISTRATION, MARKETING OR, OFFERING OF THE NOTES.</w:t>
      </w:r>
    </w:p>
    <w:p w14:paraId="65A85544" w14:textId="77777777" w:rsidR="009E5696" w:rsidRDefault="00273474">
      <w:pPr>
        <w:keepNext/>
        <w:keepLines/>
        <w:spacing w:before="100" w:after="100"/>
      </w:pPr>
      <w:r>
        <w:t>No purchaser, seller or holder of the notes, or any other person or entity, should use or refer to any MSCI trade name, trademark or service mark to sponsor, endorse, market or promote the notes without first contacting MSCI to determine whether MSCI’s permission is required. Under no circumstances may any person or entity claim any affiliation with MSCI without the prior written permission of MSCI.</w:t>
      </w:r>
    </w:p>
    <w:p w14:paraId="05DBF5BC" w14:textId="77777777" w:rsidR="009E5696" w:rsidRDefault="00273474">
      <w:pPr>
        <w:pageBreakBefore/>
        <w:spacing w:after="200"/>
        <w:jc w:val="center"/>
      </w:pPr>
      <w:bookmarkStart w:id="13" w:name="gsConflictOfInterestLink"/>
      <w:r>
        <w:rPr>
          <w:b/>
        </w:rPr>
        <w:lastRenderedPageBreak/>
        <w:t>SUPPLEMENTAL PLAN OF DISTRIBUTION—CONFLICTS OF INTEREST</w:t>
      </w:r>
      <w:bookmarkEnd w:id="13"/>
    </w:p>
    <w:p w14:paraId="626EF394" w14:textId="77777777" w:rsidR="009E5696" w:rsidRDefault="00273474">
      <w:pPr>
        <w:pStyle w:val="BofaPara"/>
        <w:spacing w:line="200" w:lineRule="atLeast"/>
      </w:pPr>
      <w:r>
        <w:rPr>
          <w:rFonts w:eastAsia="Arial"/>
        </w:rPr>
        <w:t>BofA Finance has agreed to sell to BofAS, and BofAS has agreed to purchase from BofA Finance, the aggregate face amount of the offered notes specified on the front cover of this pricing supplement. BofAS will offer the notes to the public at the price to public set forth on the cover page of this pricing supplement.</w:t>
      </w:r>
    </w:p>
    <w:p w14:paraId="55835D24" w14:textId="77777777" w:rsidR="009E5696" w:rsidRDefault="00273474">
      <w:pPr>
        <w:pStyle w:val="BofaPara"/>
        <w:spacing w:line="200" w:lineRule="atLeast"/>
      </w:pPr>
      <w:r>
        <w:rPr>
          <w:rFonts w:eastAsia="Arial"/>
        </w:rPr>
        <w:t>BofAS or one of its affiliates will also pay a fee to iCapital Markets LLC, a broker-dealer in which an affiliate of Goldman Sachs &amp; Co. LLC, who is acting as a dealer in connection with the distribution of the notes, holds an indirect minority equity interest, for services it is providing in connection with this offering.</w:t>
      </w:r>
    </w:p>
    <w:p w14:paraId="2B9908E5" w14:textId="20FC5F9A" w:rsidR="009E5696" w:rsidRDefault="00273474">
      <w:pPr>
        <w:pStyle w:val="BofaPara"/>
        <w:spacing w:line="200" w:lineRule="atLeast"/>
      </w:pPr>
      <w:r>
        <w:rPr>
          <w:rFonts w:eastAsia="Arial"/>
        </w:rPr>
        <w:t xml:space="preserve">We will deliver the notes against payment therefor in New York, New York on March 27, 2026, which is the </w:t>
      </w:r>
      <w:r w:rsidR="00D42EB5">
        <w:rPr>
          <w:rFonts w:eastAsia="Arial"/>
        </w:rPr>
        <w:t>third</w:t>
      </w:r>
      <w:r>
        <w:rPr>
          <w:rFonts w:eastAsia="Arial"/>
        </w:rPr>
        <w:t xml:space="preserve"> scheduled business day following the trade date. Under Rule 15c6-1 of the Securities Exchange Act of 1934, trades in the secondary market generally are required to settle in one business day, unless the parties to any such trade expressly agree otherwise. Accordingly, purchasers who wish to trade the notes on any date prior to one business day before delivery will be required to specify alternative settlement arrangements to prevent a failed settlement.</w:t>
      </w:r>
    </w:p>
    <w:p w14:paraId="28F6F25D" w14:textId="77777777" w:rsidR="009E5696" w:rsidRDefault="00273474">
      <w:pPr>
        <w:pStyle w:val="BofaPara"/>
        <w:spacing w:line="200" w:lineRule="atLeast"/>
      </w:pPr>
      <w:r>
        <w:rPr>
          <w:rFonts w:eastAsia="Arial"/>
        </w:rPr>
        <w:t>BofAS, a broker-dealer affiliate of ours, is a member of the Financial Industry Regulatory Authority, Inc. (“FINRA”) and will participate as selling agent in the distribution of the notes. Accordingly, the offering of the notes will conform to the requirements of FINRA Rule 5121. BofAS may not make sales in this offering to any of its discretionary accounts without the prior written approval of the account holder.</w:t>
      </w:r>
    </w:p>
    <w:p w14:paraId="24BCA3F7" w14:textId="77777777" w:rsidR="009E5696" w:rsidRDefault="00273474">
      <w:pPr>
        <w:pStyle w:val="BofaPara"/>
        <w:spacing w:line="200" w:lineRule="atLeast"/>
      </w:pPr>
      <w:r>
        <w:rPr>
          <w:rFonts w:eastAsia="Arial"/>
        </w:rPr>
        <w:t>BofAS and any of our other broker-dealer affiliates, may use this pricing supplement, and the accompanying product supplement, prospectus supplement and prospectus for offers and sales in secondary market transactions and market-making transactions in the notes. However, they are not obligated to engage in such secondary market transactions and/or market-making transactions. The selling agent may act as principal or agent in these transactions, and any such sales will be made at prices related to prevailing market conditions at the time of the sale.</w:t>
      </w:r>
    </w:p>
    <w:p w14:paraId="73EB0DD3" w14:textId="77777777" w:rsidR="009E5696" w:rsidRDefault="00273474">
      <w:pPr>
        <w:pStyle w:val="BofaPara"/>
        <w:spacing w:line="200" w:lineRule="atLeast"/>
      </w:pPr>
      <w:r>
        <w:rPr>
          <w:rFonts w:eastAsia="Arial"/>
        </w:rPr>
        <w:t>As agreed by BofAS and the distribution participants, for approximately a three-month period after the trade date, BofAS expects to offer to buy the notes in the secondary market at a price that will exceed the estimated value of the notes at that time; the amount of this excess will decline on a straight line basis over that period. Thereafter, if BofAS buys or sells your notes, it will do so at prices that reflect the estimated value determined by reference to its pricing models at that time. Any price at any time after the trade date will be based on then-prevailing market conditions and other considerations, including the performance of the Underlier and the remaining term of the notes. However, none of us, the Guarantor, BofAS or any other party is obligated to purchase your notes at any price or at any time, and we cannot assure you that any party will purchase your notes at a price that equals or exceeds the initial estimated value of the notes.</w:t>
      </w:r>
    </w:p>
    <w:p w14:paraId="1B7E425A" w14:textId="77777777" w:rsidR="009E5696" w:rsidRDefault="00273474">
      <w:pPr>
        <w:pStyle w:val="BofaPara"/>
        <w:spacing w:line="200" w:lineRule="atLeast"/>
      </w:pPr>
      <w:r>
        <w:rPr>
          <w:rFonts w:eastAsia="Arial"/>
        </w:rPr>
        <w:t>Any price that BofAS may pay to repurchase the notes will depend upon then prevailing market conditions, the creditworthiness of us and the Guarantor, and transaction costs. At certain times, this price may be higher than or lower than the initial estimated value of the notes.</w:t>
      </w:r>
    </w:p>
    <w:p w14:paraId="55C44359" w14:textId="77777777" w:rsidR="009E5696" w:rsidRDefault="00273474">
      <w:pPr>
        <w:keepNext/>
        <w:spacing w:line="200" w:lineRule="atLeast"/>
      </w:pPr>
      <w:r>
        <w:rPr>
          <w:b/>
        </w:rPr>
        <w:t>European Economic Area and United Kingdom</w:t>
      </w:r>
    </w:p>
    <w:p w14:paraId="65588033" w14:textId="77777777" w:rsidR="009E5696" w:rsidRDefault="00273474">
      <w:pPr>
        <w:pStyle w:val="BofaPara"/>
        <w:spacing w:line="200" w:lineRule="atLeast"/>
      </w:pPr>
      <w:r>
        <w:rPr>
          <w:rFonts w:eastAsia="Arial"/>
        </w:rPr>
        <w:t>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notes other than to Qualified Investors. The expression “Prospectus Regulation” means Regulation (EU) 2017/1129.</w:t>
      </w:r>
    </w:p>
    <w:p w14:paraId="0F3B20B0" w14:textId="0F2D2735" w:rsidR="009E5696" w:rsidRDefault="00273474">
      <w:pPr>
        <w:pStyle w:val="BofaPara"/>
        <w:spacing w:line="200" w:lineRule="atLeast"/>
        <w:rPr>
          <w:rFonts w:eastAsia="Arial"/>
        </w:rPr>
      </w:pPr>
      <w:r>
        <w:rPr>
          <w:rFonts w:eastAsia="Arial"/>
          <w:b/>
          <w:color w:val="000000"/>
        </w:rPr>
        <w:t>PROHIBITION OF SALES TO EEA RETAIL INVESTORS</w:t>
      </w:r>
      <w:r>
        <w:rPr>
          <w:rFonts w:eastAsia="Arial"/>
        </w:rPr>
        <w:t xml:space="preserve"> – The notes are not intended to be offered, sold or otherwise made available to and should not be offered, sold or otherwise made available to any retail investor in the EEA</w:t>
      </w:r>
      <w:r w:rsidR="00C52DF6">
        <w:rPr>
          <w:rFonts w:eastAsia="Arial"/>
        </w:rPr>
        <w:t>.</w:t>
      </w:r>
      <w:r>
        <w:rPr>
          <w:rFonts w:eastAsia="Arial"/>
        </w:rPr>
        <w:t xml:space="preserve">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w:t>
      </w:r>
      <w:r>
        <w:rPr>
          <w:rFonts w:eastAsia="Arial"/>
        </w:rPr>
        <w:lastRenderedPageBreak/>
        <w:t>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14:paraId="12FAB6D1" w14:textId="0A996445" w:rsidR="00C52DF6" w:rsidRDefault="00C52DF6">
      <w:pPr>
        <w:pStyle w:val="BofaPara"/>
        <w:spacing w:line="200" w:lineRule="atLeast"/>
      </w:pPr>
      <w:r w:rsidRPr="00C52DF6">
        <w:rPr>
          <w:b/>
          <w:bCs/>
        </w:rPr>
        <w:t>PROHIBITION OF SALES TO UNITED KINGDOM RETAIL INVESTORS</w:t>
      </w:r>
      <w:r w:rsidRPr="00C52DF6">
        <w:t xml:space="preserve"> – The notes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PRIIPs Regulation.</w:t>
      </w:r>
    </w:p>
    <w:p w14:paraId="6A61B296" w14:textId="77777777" w:rsidR="009E5696" w:rsidRDefault="00273474">
      <w:pPr>
        <w:keepNext/>
        <w:spacing w:line="200" w:lineRule="atLeast"/>
      </w:pPr>
      <w:r>
        <w:rPr>
          <w:b/>
        </w:rPr>
        <w:t>United Kingdom</w:t>
      </w:r>
    </w:p>
    <w:p w14:paraId="410D1C9A" w14:textId="77777777" w:rsidR="009E5696" w:rsidRDefault="00273474">
      <w:pPr>
        <w:pStyle w:val="BofaPara"/>
        <w:spacing w:line="200" w:lineRule="atLeast"/>
      </w:pPr>
      <w:r>
        <w:rPr>
          <w:rFonts w:eastAsia="Arial"/>
        </w:rPr>
        <w:t>The communication of this pricing supplement, the accompanying product supplement, the accompanying prospectus supplement, the accompanying prospectus and any other document or materials relating to the issue of the notes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notes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2F0F204E" w14:textId="77777777" w:rsidR="009E5696" w:rsidRDefault="00273474">
      <w:pPr>
        <w:pStyle w:val="BofaPara"/>
        <w:spacing w:line="200" w:lineRule="atLeast"/>
      </w:pPr>
      <w:r>
        <w:rPr>
          <w:rFonts w:eastAsia="Arial"/>
        </w:rPr>
        <w:t>Any invitation or inducement to engage in investment activity (within the meaning of Section 21 of the FSMA) in connection with the issue or sale of the notes may only be communicated or caused to be communicated in circumstances in which Section 21(1) of the FSMA does not apply to BofA Finance, as issuer, or BAC, as guarantor.</w:t>
      </w:r>
    </w:p>
    <w:p w14:paraId="72571A70" w14:textId="77777777" w:rsidR="009E5696" w:rsidRDefault="00273474">
      <w:pPr>
        <w:pStyle w:val="BofaPara"/>
        <w:spacing w:line="200" w:lineRule="atLeast"/>
      </w:pPr>
      <w:r>
        <w:rPr>
          <w:rFonts w:eastAsia="Arial"/>
        </w:rPr>
        <w:t>All applicable provisions of the FSMA must be complied with in respect to anything done by any person in relation to the notes in, from or otherwise involving the United Kingdom.</w:t>
      </w:r>
    </w:p>
    <w:p w14:paraId="129E2D2E" w14:textId="77777777" w:rsidR="009E5696" w:rsidRDefault="00273474">
      <w:pPr>
        <w:pStyle w:val="GSBody"/>
        <w:pageBreakBefore/>
        <w:spacing w:before="200" w:after="200"/>
        <w:jc w:val="center"/>
      </w:pPr>
      <w:bookmarkStart w:id="14" w:name="gsStructuringNotesLink"/>
      <w:r>
        <w:rPr>
          <w:b/>
        </w:rPr>
        <w:lastRenderedPageBreak/>
        <w:t>STRUCTURING THE NOTES</w:t>
      </w:r>
      <w:bookmarkEnd w:id="14"/>
    </w:p>
    <w:p w14:paraId="5938062A" w14:textId="77777777" w:rsidR="009E5696" w:rsidRDefault="00273474">
      <w:pPr>
        <w:spacing w:line="200" w:lineRule="atLeast"/>
      </w:pPr>
      <w:r>
        <w:t>The notes are our debt securities, the return on which is linked to the performance of the Underlier. The related guarantees are BAC’s obligations. As is the case for all of our and BAC’s respective debt securities, including our market-linked notes, the economic terms of the notes reflect our and BAC’s actual or perceived creditworthiness at the time of pricing. In addition, because market-linked notes result in increased operational, funding and liability management costs to us and BAC, BAC typically borrows the funds under these types of notes at a rate, which we refer to in this pricing supplement as BAC’s internal funding rate, that is more favorable to BAC than the rate that it might pay for a conventional fixed or floating rate debt security. This generally relatively lower internal funding rate, which is reflected in the economic terms of the notes, along with the fees and charges associated with market-linked notes, resulted in the initial estimated value of the notes on the trade date being less than their public offering price.</w:t>
      </w:r>
    </w:p>
    <w:p w14:paraId="55516BE6" w14:textId="77777777" w:rsidR="009E5696" w:rsidRDefault="00273474">
      <w:pPr>
        <w:spacing w:before="100"/>
      </w:pPr>
      <w:r>
        <w:t>In order to meet our payment obligations on the notes, at the time we issue the notes,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BAC’s creditworthiness, interest rate movements, the volatility of the Underlier, the tenor of the notes and the hedging arrangements. The economic terms of the notes and their initial estimated value depend in part on the terms of these hedging arrangements.</w:t>
      </w:r>
    </w:p>
    <w:p w14:paraId="2FA52CF3" w14:textId="77777777" w:rsidR="009E5696" w:rsidRDefault="00273474">
      <w:pPr>
        <w:spacing w:before="100"/>
      </w:pPr>
      <w:r>
        <w:t>BofAS has advised us that the hedging arrangements will include hedging-related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w:t>
      </w:r>
    </w:p>
    <w:p w14:paraId="6EBA2A4F" w14:textId="45510B8D" w:rsidR="009E5696" w:rsidRDefault="00273474">
      <w:pPr>
        <w:spacing w:before="100"/>
      </w:pPr>
      <w:r>
        <w:t>For further information, see “Risk Factors” beginning on page PS-</w:t>
      </w:r>
      <w:r>
        <w:fldChar w:fldCharType="begin"/>
      </w:r>
      <w:r>
        <w:instrText xml:space="preserve"> PAGEREF gsRiskFactorsLink \h </w:instrText>
      </w:r>
      <w:r>
        <w:fldChar w:fldCharType="separate"/>
      </w:r>
      <w:r w:rsidR="00C52DF6">
        <w:rPr>
          <w:noProof/>
        </w:rPr>
        <w:t>11</w:t>
      </w:r>
      <w:r>
        <w:fldChar w:fldCharType="end"/>
      </w:r>
      <w:r>
        <w:t xml:space="preserve"> above and “Supplemental Use of Proceeds” on page PS-15 of product supplement EQUITY-1.</w:t>
      </w:r>
    </w:p>
    <w:p w14:paraId="76F61633" w14:textId="77777777" w:rsidR="009E5696" w:rsidRDefault="00273474">
      <w:pPr>
        <w:pStyle w:val="GSBody"/>
        <w:spacing w:before="200"/>
        <w:jc w:val="center"/>
      </w:pPr>
      <w:bookmarkStart w:id="15" w:name="gsValidityNotesLink"/>
      <w:r>
        <w:rPr>
          <w:b/>
        </w:rPr>
        <w:t>VALIDITY OF THE NOTES</w:t>
      </w:r>
      <w:bookmarkEnd w:id="15"/>
    </w:p>
    <w:p w14:paraId="218462F9" w14:textId="77777777" w:rsidR="00273474" w:rsidRDefault="00273474" w:rsidP="00273474">
      <w:bookmarkStart w:id="16" w:name="gsTax"/>
      <w:r w:rsidRPr="00DE5F53">
        <w:t>In the opinion of Sidley Austin LLP, as counsel to BofA Finance and BAC, when the trustee has made the</w:t>
      </w:r>
      <w:r>
        <w:t xml:space="preserve"> </w:t>
      </w:r>
      <w:r w:rsidRPr="00DE5F53">
        <w:t>appropriate entries or notations on Schedule 1 to the master global note that represents the Notes (the “Master</w:t>
      </w:r>
      <w:r>
        <w:t xml:space="preserve"> </w:t>
      </w:r>
      <w:r w:rsidRPr="00DE5F53">
        <w:t>Note”) identifying the Notes offered hereby as supplemental obligations thereunder in accordance with the</w:t>
      </w:r>
      <w:r>
        <w:t xml:space="preserve"> </w:t>
      </w:r>
      <w:r w:rsidRPr="00DE5F53">
        <w:t>instructions of BofA Finance, and the Notes have been delivered against payment as contemplated herein, such</w:t>
      </w:r>
      <w:r>
        <w:t xml:space="preserve"> </w:t>
      </w:r>
      <w:r w:rsidRPr="00DE5F53">
        <w:t>Notes will be valid and binding obligations of BofA Finance, and the related guarantee will be a valid and binding</w:t>
      </w:r>
      <w:r>
        <w:t xml:space="preserve"> </w:t>
      </w:r>
      <w:r w:rsidRPr="00DE5F53">
        <w:t>obligation of BAC, in each case, enforceable in accordance with their terms, subject to applicable bankruptcy,</w:t>
      </w:r>
      <w:r>
        <w:t xml:space="preserve"> </w:t>
      </w:r>
      <w:r w:rsidRPr="00DE5F53">
        <w:t>insolvency and similar laws affecting creditors’ rights generally, concepts of reasonableness and equitable principles</w:t>
      </w:r>
      <w:r>
        <w:t xml:space="preserve"> </w:t>
      </w:r>
      <w:r w:rsidRPr="00DE5F53">
        <w:t>of general applicability (including, without limitation, concepts of good faith, fair dealing and the lack of bad faith),</w:t>
      </w:r>
      <w:r>
        <w:t xml:space="preserve"> </w:t>
      </w:r>
      <w:r w:rsidRPr="00DE5F53">
        <w:t>provided that such counsel expresses no opinion as to the effect of fraudulent conveyance, fraudulent transfer or</w:t>
      </w:r>
      <w:r>
        <w:t xml:space="preserve"> </w:t>
      </w:r>
      <w:r w:rsidRPr="00DE5F53">
        <w:t>similar provision of applicable law on the conclusions expressed above. This opinion is given as of the date hereof</w:t>
      </w:r>
      <w:r>
        <w:t xml:space="preserve"> </w:t>
      </w:r>
      <w:r w:rsidRPr="00DE5F53">
        <w:t>and is limited to the Delaware Limited Liability Company Act, the Delaware General Corporation Law and the laws of</w:t>
      </w:r>
      <w:r>
        <w:t xml:space="preserve"> </w:t>
      </w:r>
      <w:r w:rsidRPr="00DE5F53">
        <w:t>the State of New York as in effect on the date hereof. In addition, this opinion is subject to</w:t>
      </w:r>
      <w:r>
        <w:t xml:space="preserve"> </w:t>
      </w:r>
      <w:r w:rsidRPr="00DE5F53">
        <w:t>customary assumptions</w:t>
      </w:r>
      <w:r>
        <w:t xml:space="preserve"> </w:t>
      </w:r>
      <w:r w:rsidRPr="00DE5F53">
        <w:t>about the trustee’s authorization, execution and delivery of the indenture and due authentication of the Master Note</w:t>
      </w:r>
      <w:r>
        <w:t xml:space="preserve"> </w:t>
      </w:r>
      <w:r w:rsidRPr="00DE5F53">
        <w:t>and the genuineness of signatures and certain factual matters, all as stated in the letter of such counsel dated</w:t>
      </w:r>
      <w:r>
        <w:t xml:space="preserve"> </w:t>
      </w:r>
      <w:r w:rsidRPr="00DE5F53">
        <w:t>October 1, 2025 which has been filed as Exhibit 5.3 to the Company’s Registration Statement on Form S-3 filed with</w:t>
      </w:r>
      <w:r>
        <w:t xml:space="preserve"> </w:t>
      </w:r>
      <w:r w:rsidRPr="00DE5F53">
        <w:t>the Securities and Exchange Commission on October 1, 2025.</w:t>
      </w:r>
    </w:p>
    <w:p w14:paraId="02E5A121" w14:textId="77777777" w:rsidR="009E5696" w:rsidRDefault="00273474">
      <w:pPr>
        <w:pageBreakBefore/>
        <w:spacing w:line="200" w:lineRule="atLeast"/>
        <w:jc w:val="center"/>
      </w:pPr>
      <w:r>
        <w:rPr>
          <w:b/>
        </w:rPr>
        <w:lastRenderedPageBreak/>
        <w:t>U.S. FEDERAL INCOME TAX SUMMARY</w:t>
      </w:r>
      <w:bookmarkEnd w:id="16"/>
    </w:p>
    <w:p w14:paraId="3E633293" w14:textId="77777777" w:rsidR="009E5696" w:rsidRDefault="00273474">
      <w:pPr>
        <w:pStyle w:val="BofaPara"/>
        <w:spacing w:line="200" w:lineRule="atLeast"/>
      </w:pPr>
      <w:r>
        <w:rPr>
          <w:rFonts w:eastAsia="Arial"/>
        </w:rPr>
        <w:t>The following summary of the material U.S. federal income and estate tax considerations of the acquisition, ownership, and disposition of the notes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7E980519" w14:textId="77777777" w:rsidR="009E5696" w:rsidRDefault="00273474">
      <w:pPr>
        <w:pStyle w:val="BofaPara"/>
        <w:spacing w:line="200" w:lineRule="atLeast"/>
      </w:pPr>
      <w:r>
        <w:rPr>
          <w:rFonts w:eastAsia="Arial"/>
        </w:rPr>
        <w:t>Although the notes are issued by us, they will be treated as if they were issued by BAC for U.S. federal income tax purposes. Accordingly throughout this tax discussion, references to “we,” “our” or “us” are generally to BAC unless the context requires otherwise.</w:t>
      </w:r>
    </w:p>
    <w:p w14:paraId="29087CCE" w14:textId="77777777" w:rsidR="009E5696" w:rsidRDefault="00273474">
      <w:pPr>
        <w:pStyle w:val="BofaPara"/>
        <w:spacing w:line="200" w:lineRule="atLeast"/>
      </w:pPr>
      <w:r>
        <w:rPr>
          <w:rFonts w:eastAsia="Arial"/>
        </w:rPr>
        <w:t xml:space="preserve">This summary is directed solely to U.S. Holders and Non-U.S. Holders (each, as defined in the accompanying prospectus)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w:t>
      </w:r>
    </w:p>
    <w:p w14:paraId="45A8B3E4" w14:textId="77777777" w:rsidR="009E5696" w:rsidRDefault="00273474">
      <w:pPr>
        <w:pStyle w:val="BofaPara"/>
        <w:spacing w:line="200" w:lineRule="atLeast"/>
      </w:pPr>
      <w:r>
        <w:rPr>
          <w:rFonts w:eastAsia="Arial"/>
        </w:rPr>
        <w:t>You should consult your own tax advisor concerning the U.S. federal income tax consequences to you of acquiring, owning, and disposing of the notes, as well as any tax consequences arising under the laws of any state, local, foreign, or other tax jurisdiction and the possible effects of changes in U.S. federal or other tax laws.</w:t>
      </w:r>
    </w:p>
    <w:p w14:paraId="740A0F7C" w14:textId="77777777" w:rsidR="009E5696" w:rsidRDefault="00273474">
      <w:pPr>
        <w:pStyle w:val="BofaPara"/>
        <w:spacing w:line="200" w:lineRule="atLeast"/>
      </w:pPr>
      <w:r>
        <w:rPr>
          <w:rFonts w:eastAsia="Arial"/>
          <w:b/>
          <w:color w:val="000000"/>
        </w:rPr>
        <w:t>General</w:t>
      </w:r>
    </w:p>
    <w:p w14:paraId="41010A33" w14:textId="77777777" w:rsidR="009E5696" w:rsidRDefault="00273474">
      <w:pPr>
        <w:pStyle w:val="BofaPara"/>
        <w:spacing w:line="200" w:lineRule="atLeast"/>
      </w:pPr>
      <w:r>
        <w:rPr>
          <w:rFonts w:eastAsia="Arial"/>
        </w:rPr>
        <w:t>Although there is no statutory, judicial, or administrative authority directly addressing the characterization of the notes, we intend to treat the notes for all tax purposes as single financial contracts with respect to the Underlier and under the terms of the notes, we and every investor in the notes agree, in the absence of an administrative determination or judicial ruling to the contrary, to treat the notes in accordance with such characterization. In the opinion of our counsel, Sidley Austin LLP, it is reasonable to treat the notes as single financial contracts with respect to the Underlier. This discussion assumes that the notes constitute single financial contracts with respect to the Underlier for U.S. federal income tax purposes. If the notes did not constitute single financial contracts, the tax consequences described below would be materially different.</w:t>
      </w:r>
    </w:p>
    <w:p w14:paraId="5FF10DA2" w14:textId="77777777" w:rsidR="009E5696" w:rsidRDefault="00273474">
      <w:pPr>
        <w:pStyle w:val="BofaPara"/>
        <w:spacing w:line="200" w:lineRule="atLeast"/>
      </w:pPr>
      <w:r>
        <w:rPr>
          <w:rFonts w:eastAsia="Arial"/>
          <w:i/>
        </w:rPr>
        <w:t>This characterization of the notes is not binding on the IRS or the courts. No statutory, judicial, or administrative authority directly addresses the characterization of the notes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notes are not certain, and no assurance can be given that the IRS or any court will agree with the characterization and tax treatment described in this pricing supplement. Accordingly, you are urged to consult your tax advisor regarding all aspects of the U.S. federal income tax consequences of an investment in the notes, including possible alternative characterizations.</w:t>
      </w:r>
    </w:p>
    <w:p w14:paraId="3DA4E827" w14:textId="77777777" w:rsidR="009E5696" w:rsidRDefault="00273474">
      <w:pPr>
        <w:pStyle w:val="BofaPara"/>
        <w:spacing w:line="200" w:lineRule="atLeast"/>
      </w:pPr>
      <w:r>
        <w:rPr>
          <w:rFonts w:eastAsia="Arial"/>
        </w:rPr>
        <w:t>Unless otherwise stated, the following discussion is based on the characterization described above. The discussion in this section assumes that there is a significant possibility of a significant loss of principal on an investment in the notes.</w:t>
      </w:r>
    </w:p>
    <w:p w14:paraId="7A6AF402" w14:textId="77777777" w:rsidR="009E5696" w:rsidRDefault="00273474">
      <w:pPr>
        <w:pStyle w:val="BofaPara"/>
        <w:spacing w:line="200" w:lineRule="atLeast"/>
      </w:pPr>
      <w:r>
        <w:rPr>
          <w:rFonts w:eastAsia="Arial"/>
        </w:rPr>
        <w:t>We will not attempt to ascertain whether any issuer of a component stock included in the Underlier would be treated as a “passive foreign investment company” (“PFIC”), within the meaning of Section 1297 of the Code, or a United States real property holding corporation, within the meaning of Section 897(c) of the Code. If the issuer of one or more stocks included in the Underlier were so treated, certain adverse U.S. federal income tax consequences could possibly apply to a holder of the notes. You should refer to information filed with the SEC by the issuers of the component stocks included in the Underlier and consult your tax advisor regarding the possible consequences to you, if any, if any issuer of a component stock included in the Underlier is or becomes a PFIC or is or becomes a United States real property holding corporation.</w:t>
      </w:r>
    </w:p>
    <w:p w14:paraId="741FFABE" w14:textId="77777777" w:rsidR="009E5696" w:rsidRDefault="00273474">
      <w:pPr>
        <w:pStyle w:val="BofaPara"/>
        <w:spacing w:line="200" w:lineRule="atLeast"/>
      </w:pPr>
      <w:r>
        <w:rPr>
          <w:rFonts w:eastAsia="Arial"/>
          <w:b/>
          <w:color w:val="000000"/>
        </w:rPr>
        <w:t>U.S. Holders</w:t>
      </w:r>
    </w:p>
    <w:p w14:paraId="09E33B58" w14:textId="77777777" w:rsidR="009E5696" w:rsidRDefault="00273474">
      <w:pPr>
        <w:pStyle w:val="BofaPara"/>
        <w:spacing w:line="200" w:lineRule="atLeast"/>
      </w:pPr>
      <w:r>
        <w:rPr>
          <w:rFonts w:eastAsia="Arial"/>
        </w:rPr>
        <w:lastRenderedPageBreak/>
        <w:t>Upon receipt of a cash payment at maturity or upon a sale or exchange of the notes prior to maturity, a U.S. Holder generally will recognize capital gain or loss equal to the difference between the amount realized and the U.S. Holder’s tax basis in the notes. A U.S. Holder’s tax basis in the notes will equal the amount paid by that holder to acquire them. This capital gain or loss generally will be long-term capital gain or loss if the U.S. Holder held the notes for more than one year. The deductibility of capital losses is subject to limitations.</w:t>
      </w:r>
    </w:p>
    <w:p w14:paraId="6D685D3B" w14:textId="77777777" w:rsidR="009E5696" w:rsidRDefault="00273474">
      <w:pPr>
        <w:pStyle w:val="BofaPara"/>
        <w:spacing w:line="200" w:lineRule="atLeast"/>
      </w:pPr>
      <w:r>
        <w:rPr>
          <w:rFonts w:eastAsia="Arial"/>
          <w:i/>
        </w:rPr>
        <w:t xml:space="preserve">Alternative Tax Treatments. </w:t>
      </w:r>
      <w:r>
        <w:rPr>
          <w:rFonts w:eastAsia="Arial"/>
        </w:rPr>
        <w:t>Due to the absence of authorities that directly address the proper tax treatment of the notes, prospective investors are urged to consult their tax advisors regarding all possible alternative tax treatments of an investment in the notes. In particular, the IRS could seek to subject the notes to the Treasury regulations governing contingent payment debt instruments. If the IRS were successful in that regard, the timing and character of income on the notes would be affected significantly. Among other things, a U.S. Holder would be required to accrue original issue discount every year at a “comparable yield” determined at the time of issuance. In addition, any gain realized by a U.S. Holder at maturity or upon a sale or exchange of the notes generally would be treated as ordinary income, and any loss realized at maturity or upon a sale or exchange of the notes generally would be treated as ordinary loss to the extent of the U.S. Holder’s prior accruals of original issue discount, and as capital loss thereafter.</w:t>
      </w:r>
    </w:p>
    <w:p w14:paraId="57CD9E76" w14:textId="77777777" w:rsidR="009E5696" w:rsidRDefault="00273474">
      <w:pPr>
        <w:pStyle w:val="BofaPara"/>
        <w:spacing w:line="200" w:lineRule="atLeast"/>
      </w:pPr>
      <w:r>
        <w:rPr>
          <w:rFonts w:eastAsia="Arial"/>
        </w:rPr>
        <w:t>The IRS released Notice 2008-2 (the “Notice”), which sought comments from the public on the taxation of financial instruments currently taxed as “prepaid forward contracts.” This Notice addresses instruments such as the notes. According to the Notice, the IRS and Treasury are considering whether a holder of an instrument such as the notes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notes, possibly with retroactive effect.</w:t>
      </w:r>
    </w:p>
    <w:p w14:paraId="064502CA" w14:textId="77777777" w:rsidR="009E5696" w:rsidRDefault="00273474">
      <w:pPr>
        <w:pStyle w:val="BofaPara"/>
        <w:spacing w:line="200" w:lineRule="atLeast"/>
      </w:pPr>
      <w:r>
        <w:rPr>
          <w:rFonts w:eastAsia="Arial"/>
        </w:rP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2088C4C5" w14:textId="77777777" w:rsidR="009E5696" w:rsidRDefault="00273474">
      <w:pPr>
        <w:pStyle w:val="BofaPara"/>
        <w:spacing w:line="200" w:lineRule="atLeast"/>
      </w:pPr>
      <w:r>
        <w:rPr>
          <w:rFonts w:eastAsia="Arial"/>
        </w:rP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notes. </w:t>
      </w:r>
    </w:p>
    <w:p w14:paraId="39F174AF" w14:textId="77777777" w:rsidR="009E5696" w:rsidRDefault="00273474">
      <w:pPr>
        <w:pStyle w:val="BofaPara"/>
        <w:spacing w:line="200" w:lineRule="atLeast"/>
      </w:pPr>
      <w:r>
        <w:rPr>
          <w:rFonts w:eastAsia="Arial"/>
        </w:rPr>
        <w:t>Because of the absence of authority regarding the appropriate tax characterization of the notes, it is also possible that the IRS could seek to characterize the notes in a manner that results in tax consequences that are different from those described above. For example, the IRS could possibly assert that any gain or loss that a holder may recognize at maturity or upon the sale or exchange of the notes should be treated as ordinary gain or loss.</w:t>
      </w:r>
    </w:p>
    <w:p w14:paraId="7F164379" w14:textId="77777777" w:rsidR="009E5696" w:rsidRDefault="00273474">
      <w:pPr>
        <w:spacing w:line="200" w:lineRule="atLeast"/>
      </w:pPr>
      <w:r>
        <w:t xml:space="preserve">Because the Underlier is an index that periodically rebalances, it is possible that the notes could be treated as a series of single financial contracts, each of which matures on the next rebalancing date. If the notes were properly characterized in such a manner, a U.S. Holder would be treated as disposing of the notes on each rebalancing date in return for new notes that mature on the next rebalancing date, and a U.S. Holder would accordingly likely recognize capital gain or loss on each rebalancing date equal to the difference between the holder’s tax basis in the notes (which would be adjusted to take into account any prior recognition of gain or loss) and the fair market value of the notes on such date. </w:t>
      </w:r>
    </w:p>
    <w:p w14:paraId="14277A5C" w14:textId="77777777" w:rsidR="009E5696" w:rsidRDefault="00273474">
      <w:pPr>
        <w:pStyle w:val="BofaPara"/>
        <w:spacing w:line="200" w:lineRule="atLeast"/>
      </w:pPr>
      <w:r>
        <w:rPr>
          <w:rFonts w:eastAsia="Arial"/>
          <w:b/>
          <w:color w:val="000000"/>
        </w:rPr>
        <w:t>Non-U.S. Holders</w:t>
      </w:r>
    </w:p>
    <w:p w14:paraId="498DE992" w14:textId="77777777" w:rsidR="009E5696" w:rsidRDefault="00273474">
      <w:pPr>
        <w:pStyle w:val="BofaPara"/>
        <w:spacing w:line="200" w:lineRule="atLeast"/>
      </w:pPr>
      <w:r>
        <w:rPr>
          <w:rFonts w:eastAsia="Arial"/>
        </w:rPr>
        <w:t xml:space="preserve">Except as discussed below, a Non-U.S. Holder generally will not be subject to U.S. federal income or withholding tax for amounts paid in respect of the notes provided that the Non-U.S. Holder complies with applicable certification requirements and that the payment is not effectively connected with the conduct by the Non-U.S. Holder of a U.S. trade or business. Notwithstanding the foregoing, gain from the sale or exchange of the notes or their settlement at maturity may be subject to U.S. federal income tax if that Non-U.S. Holder is a non-resident alien individual and is present in the U.S. for 183 days or more during the taxable year of the sale, exchange, or </w:t>
      </w:r>
      <w:r>
        <w:rPr>
          <w:rFonts w:eastAsia="Arial"/>
        </w:rPr>
        <w:lastRenderedPageBreak/>
        <w:t xml:space="preserve">settlement and certain other conditions are satisfied. </w:t>
      </w:r>
    </w:p>
    <w:p w14:paraId="6446712F" w14:textId="77777777" w:rsidR="009E5696" w:rsidRDefault="00273474">
      <w:pPr>
        <w:pStyle w:val="BofaPara"/>
        <w:spacing w:line="200" w:lineRule="atLeast"/>
      </w:pPr>
      <w:r>
        <w:rPr>
          <w:rFonts w:eastAsia="Arial"/>
        </w:rPr>
        <w:t>If a Non-U.S. Holder of the notes is engaged in the conduct of a trade or business within the U.S. and if gain realized on the settlement at maturity, or upon sale or exchange of the notes,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gain on a net income basis in the same manner as if it were a U.S. Holder. Such Non-U.S. Holders should read the material under the heading “—U.S. Holders,” for a description of the U.S. federal income tax consequences of acquiring, owning, and disposing of the notes.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7D710E88" w14:textId="77777777" w:rsidR="009E5696" w:rsidRDefault="00273474">
      <w:pPr>
        <w:pStyle w:val="BofaPara"/>
        <w:spacing w:line="200" w:lineRule="atLeast"/>
      </w:pPr>
      <w:r>
        <w:rPr>
          <w:rFonts w:eastAsia="Arial"/>
        </w:rPr>
        <w:t>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(“ELIs”) that are “specified ELIs” may be treated as dividend equivalents if such specified ELIs reference an interest in an “underlying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are issued before January 1, 2027. Based on our determination that the notes are not delta-one instruments, Non-U.S. Holders should not be subject to withholding on dividend equivalent payments, if any, under the notes. However, it is possible that the notes could be treated as deemed reissued for U.S. federal income tax purposes upon the occurrence of certain events affecting the Underlier or the notes, and following such occurrence the notes could be treated as subject to withholding on dividend equivalent payments. Non-U.S. Holders that enter, or have entered, into other transactions in respect of the Underlier or the notes should consult their tax advisors as to the application of the dividend equivalent withholding tax in the context of the notes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75477E46" w14:textId="77777777" w:rsidR="009E5696" w:rsidRDefault="00273474">
      <w:pPr>
        <w:pStyle w:val="BofaPara"/>
        <w:spacing w:line="200" w:lineRule="atLeast"/>
      </w:pPr>
      <w:r>
        <w:rPr>
          <w:rFonts w:eastAsia="Arial"/>
        </w:rPr>
        <w:t>As discussed above, alternative characterizations of the notes for U.S. federal income tax purposes are possible. Should an alternative characterization, by reason of change or clarification of the law, by regulation or otherwise, cause payments as to the notes to become subject to withholding tax, tax will be withheld at the applicable statutory rate. As discussed above, the IRS has indicated in the Notice that it is considering whether income in respect of instruments such as the notes should be subject to withholding tax. Prospective Non-U.S. Holders should consult their own tax advisors regarding the tax consequences of such alternative characterizations.</w:t>
      </w:r>
    </w:p>
    <w:p w14:paraId="52C441D5" w14:textId="77777777" w:rsidR="009E5696" w:rsidRDefault="00273474">
      <w:pPr>
        <w:pStyle w:val="BofaPara"/>
        <w:spacing w:line="200" w:lineRule="atLeast"/>
      </w:pPr>
      <w:r>
        <w:rPr>
          <w:rFonts w:eastAsia="Arial"/>
          <w:i/>
        </w:rPr>
        <w:t xml:space="preserve">U.S. Federal Estate Tax. </w:t>
      </w:r>
      <w:r>
        <w:rPr>
          <w:rFonts w:eastAsia="Arial"/>
        </w:rPr>
        <w:t>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note is likely to be treated as U.S. situs property, subject to U.S. federal estate tax. These individuals and entities should consult their own tax advisors regarding the U.S. federal estate tax consequences of investing in a note.</w:t>
      </w:r>
    </w:p>
    <w:p w14:paraId="4E1E72B4" w14:textId="77777777" w:rsidR="009E5696" w:rsidRDefault="00273474">
      <w:pPr>
        <w:pStyle w:val="BofaPara"/>
        <w:spacing w:line="200" w:lineRule="atLeast"/>
      </w:pPr>
      <w:r>
        <w:rPr>
          <w:rFonts w:eastAsia="Arial"/>
          <w:b/>
          <w:color w:val="000000"/>
        </w:rPr>
        <w:t>Backup Withholding and Information Reporting</w:t>
      </w:r>
    </w:p>
    <w:p w14:paraId="01233391" w14:textId="77777777" w:rsidR="009E5696" w:rsidRDefault="00273474">
      <w:pPr>
        <w:pStyle w:val="BofaPara"/>
        <w:spacing w:line="200" w:lineRule="atLeast"/>
      </w:pPr>
      <w:r>
        <w:rPr>
          <w:rFonts w:eastAsia="Arial"/>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notes.</w:t>
      </w:r>
    </w:p>
    <w:p w14:paraId="3E7E02CA" w14:textId="77777777" w:rsidR="009E5696" w:rsidRDefault="009E5696"/>
    <w:p w14:paraId="033DD34F" w14:textId="77777777" w:rsidR="009E5696" w:rsidRDefault="009E5696">
      <w:pPr>
        <w:pStyle w:val="GSPara"/>
        <w:sectPr w:rsidR="009E5696">
          <w:headerReference w:type="even" r:id="rId13"/>
          <w:headerReference w:type="default" r:id="rId14"/>
          <w:footerReference w:type="even" r:id="rId15"/>
          <w:footerReference w:type="default" r:id="rId16"/>
          <w:headerReference w:type="first" r:id="rId17"/>
          <w:footerReference w:type="first" r:id="rId18"/>
          <w:pgSz w:w="12240" w:h="15840"/>
          <w:pgMar w:top="862" w:right="1009" w:bottom="720" w:left="1106" w:header="431" w:footer="680" w:gutter="0"/>
          <w:cols w:space="720"/>
          <w:titlePg/>
          <w:docGrid w:linePitch="272"/>
        </w:sectPr>
      </w:pPr>
    </w:p>
    <w:p w14:paraId="75E0270F" w14:textId="77777777" w:rsidR="009E5696" w:rsidRDefault="009E5696">
      <w:pPr>
        <w:pStyle w:val="GSPara"/>
      </w:pPr>
    </w:p>
    <w:p w14:paraId="33474E7B" w14:textId="77777777" w:rsidR="009E5696" w:rsidRDefault="009E5696">
      <w:pPr>
        <w:pStyle w:val="GSPara"/>
      </w:pPr>
    </w:p>
    <w:tbl>
      <w:tblPr>
        <w:tblW w:w="5000" w:type="pct"/>
        <w:tblLayout w:type="fixed"/>
        <w:tblCellMar>
          <w:left w:w="11" w:type="dxa"/>
          <w:right w:w="11" w:type="dxa"/>
        </w:tblCellMar>
        <w:tblLook w:val="01E0" w:firstRow="1" w:lastRow="1" w:firstColumn="1" w:lastColumn="1" w:noHBand="0" w:noVBand="0"/>
      </w:tblPr>
      <w:tblGrid>
        <w:gridCol w:w="4668"/>
        <w:gridCol w:w="454"/>
        <w:gridCol w:w="4918"/>
      </w:tblGrid>
      <w:tr w:rsidR="009E5696" w14:paraId="0708EF07" w14:textId="77777777">
        <w:tc>
          <w:tcPr>
            <w:tcW w:w="4666" w:type="dxa"/>
          </w:tcPr>
          <w:p w14:paraId="519AA1F8" w14:textId="77777777" w:rsidR="009E5696" w:rsidRDefault="00273474">
            <w:pPr>
              <w:pStyle w:val="SubHeading"/>
              <w:jc w:val="center"/>
              <w:rPr>
                <w:b/>
                <w:bCs/>
              </w:rPr>
            </w:pPr>
            <w:r>
              <w:rPr>
                <w:b/>
                <w:bCs/>
              </w:rPr>
              <w:t>TABLE OF CONTENTS</w:t>
            </w:r>
          </w:p>
          <w:p w14:paraId="34448667" w14:textId="77777777" w:rsidR="009E5696" w:rsidRDefault="009E5696">
            <w:pPr>
              <w:pStyle w:val="SubHeading"/>
              <w:jc w:val="center"/>
            </w:pPr>
          </w:p>
          <w:p w14:paraId="43E4F90E" w14:textId="77777777" w:rsidR="009E5696" w:rsidRDefault="00273474">
            <w:pPr>
              <w:pStyle w:val="FontBigSpacing"/>
              <w:jc w:val="center"/>
            </w:pPr>
            <w:r>
              <w:rPr>
                <w:b/>
                <w:bCs/>
              </w:rPr>
              <w:t>Pricing Supplement</w:t>
            </w:r>
          </w:p>
          <w:p w14:paraId="42336D8B" w14:textId="77777777" w:rsidR="009E5696" w:rsidRDefault="00273474">
            <w:pPr>
              <w:pStyle w:val="FontBigSpacing"/>
              <w:jc w:val="right"/>
            </w:pPr>
            <w:r>
              <w:rPr>
                <w:u w:val="single"/>
              </w:rPr>
              <w:t>Page</w:t>
            </w:r>
          </w:p>
          <w:tbl>
            <w:tblPr>
              <w:tblW w:w="5000" w:type="pct"/>
              <w:tblLayout w:type="fixed"/>
              <w:tblLook w:val="01E0" w:firstRow="1" w:lastRow="1" w:firstColumn="1" w:lastColumn="1" w:noHBand="0" w:noVBand="0"/>
            </w:tblPr>
            <w:tblGrid>
              <w:gridCol w:w="3949"/>
              <w:gridCol w:w="697"/>
            </w:tblGrid>
            <w:tr w:rsidR="009E5696" w14:paraId="0611EA71" w14:textId="77777777">
              <w:tc>
                <w:tcPr>
                  <w:tcW w:w="4250" w:type="pct"/>
                  <w:tcMar>
                    <w:top w:w="39" w:type="dxa"/>
                    <w:left w:w="0" w:type="dxa"/>
                    <w:bottom w:w="0" w:type="dxa"/>
                    <w:right w:w="0" w:type="dxa"/>
                  </w:tcMar>
                </w:tcPr>
                <w:p w14:paraId="49FE5712" w14:textId="77777777" w:rsidR="009E5696" w:rsidRDefault="00273474">
                  <w:pPr>
                    <w:pStyle w:val="TOC-Alignment"/>
                    <w:tabs>
                      <w:tab w:val="left" w:leader="dot" w:pos="4196"/>
                    </w:tabs>
                  </w:pPr>
                  <w:r>
                    <w:t xml:space="preserve">Summary Information </w:t>
                  </w:r>
                  <w:r>
                    <w:tab/>
                  </w:r>
                </w:p>
              </w:tc>
              <w:tc>
                <w:tcPr>
                  <w:tcW w:w="750" w:type="pct"/>
                  <w:tcMar>
                    <w:top w:w="39" w:type="dxa"/>
                    <w:left w:w="0" w:type="dxa"/>
                    <w:bottom w:w="0" w:type="dxa"/>
                    <w:right w:w="0" w:type="dxa"/>
                  </w:tcMar>
                </w:tcPr>
                <w:p w14:paraId="3D5F24C2" w14:textId="3030BCB2" w:rsidR="009E5696" w:rsidRDefault="00273474">
                  <w:pPr>
                    <w:pStyle w:val="FontBig"/>
                    <w:jc w:val="right"/>
                  </w:pPr>
                  <w:r>
                    <w:t>PS-</w:t>
                  </w:r>
                  <w:r>
                    <w:fldChar w:fldCharType="begin"/>
                  </w:r>
                  <w:r>
                    <w:instrText xml:space="preserve"> PAGEREF gsSummary \h </w:instrText>
                  </w:r>
                  <w:r>
                    <w:fldChar w:fldCharType="separate"/>
                  </w:r>
                  <w:r w:rsidR="00C52DF6">
                    <w:rPr>
                      <w:noProof/>
                    </w:rPr>
                    <w:t>3</w:t>
                  </w:r>
                  <w:r>
                    <w:fldChar w:fldCharType="end"/>
                  </w:r>
                </w:p>
              </w:tc>
            </w:tr>
            <w:tr w:rsidR="009E5696" w14:paraId="507E0A0C" w14:textId="77777777">
              <w:tc>
                <w:tcPr>
                  <w:tcW w:w="4250" w:type="pct"/>
                  <w:tcMar>
                    <w:top w:w="39" w:type="dxa"/>
                    <w:left w:w="0" w:type="dxa"/>
                    <w:bottom w:w="0" w:type="dxa"/>
                    <w:right w:w="0" w:type="dxa"/>
                  </w:tcMar>
                </w:tcPr>
                <w:p w14:paraId="785B9ADC" w14:textId="77777777" w:rsidR="009E5696" w:rsidRDefault="00273474">
                  <w:pPr>
                    <w:pStyle w:val="TOC-Alignment"/>
                    <w:tabs>
                      <w:tab w:val="left" w:leader="dot" w:pos="4196"/>
                    </w:tabs>
                  </w:pPr>
                  <w:r>
                    <w:t xml:space="preserve">Hypothetical Examples </w:t>
                  </w:r>
                  <w:r>
                    <w:tab/>
                  </w:r>
                </w:p>
              </w:tc>
              <w:tc>
                <w:tcPr>
                  <w:tcW w:w="750" w:type="pct"/>
                  <w:tcMar>
                    <w:top w:w="39" w:type="dxa"/>
                    <w:left w:w="0" w:type="dxa"/>
                    <w:bottom w:w="0" w:type="dxa"/>
                    <w:right w:w="0" w:type="dxa"/>
                  </w:tcMar>
                </w:tcPr>
                <w:p w14:paraId="6D50D165" w14:textId="69E2C261" w:rsidR="009E5696" w:rsidRDefault="00273474">
                  <w:pPr>
                    <w:pStyle w:val="FontBig"/>
                    <w:jc w:val="right"/>
                  </w:pPr>
                  <w:r>
                    <w:t>PS-</w:t>
                  </w:r>
                  <w:r>
                    <w:fldChar w:fldCharType="begin"/>
                  </w:r>
                  <w:r>
                    <w:instrText xml:space="preserve"> PAGEREF gsHypos \h </w:instrText>
                  </w:r>
                  <w:r>
                    <w:fldChar w:fldCharType="separate"/>
                  </w:r>
                  <w:r w:rsidR="00C52DF6">
                    <w:rPr>
                      <w:noProof/>
                    </w:rPr>
                    <w:t>8</w:t>
                  </w:r>
                  <w:r>
                    <w:fldChar w:fldCharType="end"/>
                  </w:r>
                </w:p>
              </w:tc>
            </w:tr>
            <w:tr w:rsidR="009E5696" w14:paraId="27D36D26" w14:textId="77777777">
              <w:tc>
                <w:tcPr>
                  <w:tcW w:w="4250" w:type="pct"/>
                  <w:tcMar>
                    <w:top w:w="39" w:type="dxa"/>
                    <w:left w:w="0" w:type="dxa"/>
                    <w:bottom w:w="0" w:type="dxa"/>
                    <w:right w:w="0" w:type="dxa"/>
                  </w:tcMar>
                </w:tcPr>
                <w:p w14:paraId="0E546007" w14:textId="77777777" w:rsidR="009E5696" w:rsidRDefault="00273474">
                  <w:pPr>
                    <w:pStyle w:val="TOC-Alignment"/>
                    <w:tabs>
                      <w:tab w:val="left" w:leader="dot" w:pos="4196"/>
                    </w:tabs>
                  </w:pPr>
                  <w:r>
                    <w:t xml:space="preserve">Risk Factors </w:t>
                  </w:r>
                  <w:r>
                    <w:tab/>
                  </w:r>
                </w:p>
              </w:tc>
              <w:tc>
                <w:tcPr>
                  <w:tcW w:w="750" w:type="pct"/>
                  <w:tcMar>
                    <w:top w:w="39" w:type="dxa"/>
                    <w:left w:w="0" w:type="dxa"/>
                    <w:bottom w:w="0" w:type="dxa"/>
                    <w:right w:w="0" w:type="dxa"/>
                  </w:tcMar>
                </w:tcPr>
                <w:p w14:paraId="55F4B513" w14:textId="53A4E423" w:rsidR="009E5696" w:rsidRDefault="00273474">
                  <w:pPr>
                    <w:pStyle w:val="FontBig"/>
                    <w:jc w:val="right"/>
                  </w:pPr>
                  <w:r>
                    <w:t>PS-</w:t>
                  </w:r>
                  <w:r>
                    <w:fldChar w:fldCharType="begin"/>
                  </w:r>
                  <w:r>
                    <w:instrText xml:space="preserve"> PAGEREF gsRiskFactorsLink \h </w:instrText>
                  </w:r>
                  <w:r>
                    <w:fldChar w:fldCharType="separate"/>
                  </w:r>
                  <w:r w:rsidR="00C52DF6">
                    <w:rPr>
                      <w:noProof/>
                    </w:rPr>
                    <w:t>11</w:t>
                  </w:r>
                  <w:r>
                    <w:fldChar w:fldCharType="end"/>
                  </w:r>
                </w:p>
              </w:tc>
            </w:tr>
            <w:tr w:rsidR="009E5696" w14:paraId="7B195C8A" w14:textId="77777777">
              <w:tc>
                <w:tcPr>
                  <w:tcW w:w="4250" w:type="pct"/>
                  <w:tcMar>
                    <w:top w:w="39" w:type="dxa"/>
                    <w:left w:w="0" w:type="dxa"/>
                    <w:bottom w:w="0" w:type="dxa"/>
                    <w:right w:w="0" w:type="dxa"/>
                  </w:tcMar>
                </w:tcPr>
                <w:p w14:paraId="750F1D13" w14:textId="77777777" w:rsidR="009E5696" w:rsidRDefault="00273474">
                  <w:pPr>
                    <w:pStyle w:val="TOC-Alignment"/>
                    <w:tabs>
                      <w:tab w:val="left" w:leader="dot" w:pos="4196"/>
                    </w:tabs>
                  </w:pPr>
                  <w:r>
                    <w:t xml:space="preserve">The Underlier </w:t>
                  </w:r>
                  <w:r>
                    <w:tab/>
                  </w:r>
                </w:p>
              </w:tc>
              <w:tc>
                <w:tcPr>
                  <w:tcW w:w="750" w:type="pct"/>
                  <w:tcMar>
                    <w:top w:w="39" w:type="dxa"/>
                    <w:left w:w="0" w:type="dxa"/>
                    <w:bottom w:w="0" w:type="dxa"/>
                    <w:right w:w="0" w:type="dxa"/>
                  </w:tcMar>
                </w:tcPr>
                <w:p w14:paraId="5FDB4CAC" w14:textId="26CA8158" w:rsidR="009E5696" w:rsidRDefault="00273474">
                  <w:pPr>
                    <w:pStyle w:val="FontBig"/>
                    <w:jc w:val="right"/>
                  </w:pPr>
                  <w:r>
                    <w:t>PS-</w:t>
                  </w:r>
                  <w:r>
                    <w:fldChar w:fldCharType="begin"/>
                  </w:r>
                  <w:r>
                    <w:instrText xml:space="preserve"> PAGEREF gsUnderlier \h </w:instrText>
                  </w:r>
                  <w:r>
                    <w:fldChar w:fldCharType="separate"/>
                  </w:r>
                  <w:r w:rsidR="00C52DF6">
                    <w:rPr>
                      <w:noProof/>
                    </w:rPr>
                    <w:t>18</w:t>
                  </w:r>
                  <w:r>
                    <w:fldChar w:fldCharType="end"/>
                  </w:r>
                </w:p>
              </w:tc>
            </w:tr>
            <w:tr w:rsidR="009E5696" w14:paraId="1B63F86A" w14:textId="77777777">
              <w:tc>
                <w:tcPr>
                  <w:tcW w:w="4250" w:type="pct"/>
                  <w:tcMar>
                    <w:top w:w="39" w:type="dxa"/>
                    <w:left w:w="0" w:type="dxa"/>
                    <w:bottom w:w="0" w:type="dxa"/>
                    <w:right w:w="0" w:type="dxa"/>
                  </w:tcMar>
                </w:tcPr>
                <w:p w14:paraId="17001638" w14:textId="77777777" w:rsidR="009E5696" w:rsidRDefault="00273474">
                  <w:pPr>
                    <w:pStyle w:val="TOC-Alignment"/>
                    <w:tabs>
                      <w:tab w:val="left" w:leader="dot" w:pos="4196"/>
                    </w:tabs>
                  </w:pPr>
                  <w:r>
                    <w:t xml:space="preserve">Supplemental Plan of Distribution-Conflicts of Interest </w:t>
                  </w:r>
                  <w:r>
                    <w:tab/>
                  </w:r>
                </w:p>
              </w:tc>
              <w:tc>
                <w:tcPr>
                  <w:tcW w:w="750" w:type="pct"/>
                  <w:tcMar>
                    <w:top w:w="39" w:type="dxa"/>
                    <w:left w:w="0" w:type="dxa"/>
                    <w:bottom w:w="0" w:type="dxa"/>
                    <w:right w:w="0" w:type="dxa"/>
                  </w:tcMar>
                </w:tcPr>
                <w:p w14:paraId="79610E06" w14:textId="0303099B" w:rsidR="009E5696" w:rsidRDefault="00273474">
                  <w:pPr>
                    <w:pStyle w:val="FontBig"/>
                    <w:jc w:val="right"/>
                  </w:pPr>
                  <w:r>
                    <w:t>PS-</w:t>
                  </w:r>
                  <w:r>
                    <w:fldChar w:fldCharType="begin"/>
                  </w:r>
                  <w:r>
                    <w:instrText xml:space="preserve"> PAGEREF gsConflictOfInterestLink \h </w:instrText>
                  </w:r>
                  <w:r>
                    <w:fldChar w:fldCharType="separate"/>
                  </w:r>
                  <w:r w:rsidR="00C52DF6">
                    <w:rPr>
                      <w:noProof/>
                    </w:rPr>
                    <w:t>25</w:t>
                  </w:r>
                  <w:r>
                    <w:fldChar w:fldCharType="end"/>
                  </w:r>
                </w:p>
              </w:tc>
            </w:tr>
            <w:tr w:rsidR="009E5696" w14:paraId="22F6686E" w14:textId="77777777">
              <w:tc>
                <w:tcPr>
                  <w:tcW w:w="4250" w:type="pct"/>
                  <w:tcMar>
                    <w:top w:w="39" w:type="dxa"/>
                    <w:left w:w="0" w:type="dxa"/>
                    <w:bottom w:w="0" w:type="dxa"/>
                    <w:right w:w="0" w:type="dxa"/>
                  </w:tcMar>
                </w:tcPr>
                <w:p w14:paraId="653DB447" w14:textId="77777777" w:rsidR="009E5696" w:rsidRDefault="00273474">
                  <w:pPr>
                    <w:pStyle w:val="TOC-Alignment"/>
                    <w:tabs>
                      <w:tab w:val="left" w:leader="dot" w:pos="4196"/>
                    </w:tabs>
                  </w:pPr>
                  <w:r>
                    <w:t xml:space="preserve">Structuring the Notes </w:t>
                  </w:r>
                  <w:r>
                    <w:tab/>
                  </w:r>
                </w:p>
                <w:p w14:paraId="0B39E35C" w14:textId="77777777" w:rsidR="009E5696" w:rsidRDefault="00273474">
                  <w:pPr>
                    <w:pStyle w:val="TOC-Alignment"/>
                    <w:tabs>
                      <w:tab w:val="left" w:leader="dot" w:pos="4196"/>
                    </w:tabs>
                  </w:pPr>
                  <w:r>
                    <w:t xml:space="preserve"> </w:t>
                  </w:r>
                </w:p>
              </w:tc>
              <w:tc>
                <w:tcPr>
                  <w:tcW w:w="750" w:type="pct"/>
                  <w:tcMar>
                    <w:top w:w="39" w:type="dxa"/>
                    <w:left w:w="0" w:type="dxa"/>
                    <w:bottom w:w="0" w:type="dxa"/>
                    <w:right w:w="0" w:type="dxa"/>
                  </w:tcMar>
                </w:tcPr>
                <w:p w14:paraId="46D3F28C" w14:textId="1B877C10" w:rsidR="009E5696" w:rsidRDefault="00273474">
                  <w:pPr>
                    <w:pStyle w:val="FontBig"/>
                    <w:jc w:val="right"/>
                  </w:pPr>
                  <w:r>
                    <w:t>PS-</w:t>
                  </w:r>
                  <w:r>
                    <w:fldChar w:fldCharType="begin"/>
                  </w:r>
                  <w:r>
                    <w:instrText xml:space="preserve"> PAGEREF gsStructuringNotesLink \h </w:instrText>
                  </w:r>
                  <w:r>
                    <w:fldChar w:fldCharType="separate"/>
                  </w:r>
                  <w:r w:rsidR="00C52DF6">
                    <w:rPr>
                      <w:noProof/>
                    </w:rPr>
                    <w:t>27</w:t>
                  </w:r>
                  <w:r>
                    <w:fldChar w:fldCharType="end"/>
                  </w:r>
                </w:p>
                <w:p w14:paraId="4C0CD28E" w14:textId="77777777" w:rsidR="009E5696" w:rsidRDefault="009E5696">
                  <w:pPr>
                    <w:pStyle w:val="FontBig"/>
                    <w:jc w:val="right"/>
                  </w:pPr>
                </w:p>
              </w:tc>
            </w:tr>
            <w:tr w:rsidR="009E5696" w14:paraId="2BD4F49F" w14:textId="77777777">
              <w:tc>
                <w:tcPr>
                  <w:tcW w:w="4250" w:type="pct"/>
                  <w:tcMar>
                    <w:top w:w="39" w:type="dxa"/>
                    <w:left w:w="0" w:type="dxa"/>
                    <w:bottom w:w="0" w:type="dxa"/>
                    <w:right w:w="0" w:type="dxa"/>
                  </w:tcMar>
                </w:tcPr>
                <w:p w14:paraId="62110B71" w14:textId="77777777" w:rsidR="009E5696" w:rsidRDefault="00273474">
                  <w:pPr>
                    <w:pStyle w:val="TOC-Alignment"/>
                    <w:tabs>
                      <w:tab w:val="left" w:leader="dot" w:pos="4196"/>
                    </w:tabs>
                  </w:pPr>
                  <w:r>
                    <w:t xml:space="preserve">Validity of the Notes </w:t>
                  </w:r>
                  <w:r>
                    <w:tab/>
                    <w:t xml:space="preserve"> </w:t>
                  </w:r>
                </w:p>
              </w:tc>
              <w:tc>
                <w:tcPr>
                  <w:tcW w:w="750" w:type="pct"/>
                  <w:tcMar>
                    <w:top w:w="39" w:type="dxa"/>
                    <w:left w:w="0" w:type="dxa"/>
                    <w:bottom w:w="0" w:type="dxa"/>
                    <w:right w:w="0" w:type="dxa"/>
                  </w:tcMar>
                </w:tcPr>
                <w:p w14:paraId="42F0D2D4" w14:textId="56F3E582" w:rsidR="009E5696" w:rsidRDefault="00273474">
                  <w:pPr>
                    <w:pStyle w:val="FontBig"/>
                    <w:jc w:val="right"/>
                  </w:pPr>
                  <w:r>
                    <w:t>PS-</w:t>
                  </w:r>
                  <w:r>
                    <w:fldChar w:fldCharType="begin"/>
                  </w:r>
                  <w:r>
                    <w:instrText xml:space="preserve"> PAGEREF gsValidityNotesLink \h </w:instrText>
                  </w:r>
                  <w:r>
                    <w:fldChar w:fldCharType="separate"/>
                  </w:r>
                  <w:r w:rsidR="00C52DF6">
                    <w:rPr>
                      <w:noProof/>
                    </w:rPr>
                    <w:t>27</w:t>
                  </w:r>
                  <w:r>
                    <w:fldChar w:fldCharType="end"/>
                  </w:r>
                  <w:r>
                    <w:t xml:space="preserve"> </w:t>
                  </w:r>
                </w:p>
              </w:tc>
            </w:tr>
            <w:tr w:rsidR="009E5696" w14:paraId="3D8F0FB6" w14:textId="77777777">
              <w:tc>
                <w:tcPr>
                  <w:tcW w:w="4250" w:type="pct"/>
                  <w:tcMar>
                    <w:top w:w="39" w:type="dxa"/>
                    <w:left w:w="0" w:type="dxa"/>
                    <w:bottom w:w="0" w:type="dxa"/>
                    <w:right w:w="0" w:type="dxa"/>
                  </w:tcMar>
                </w:tcPr>
                <w:p w14:paraId="23B936EE" w14:textId="77777777" w:rsidR="009E5696" w:rsidRDefault="00273474">
                  <w:pPr>
                    <w:pStyle w:val="TOC-Alignment"/>
                    <w:tabs>
                      <w:tab w:val="left" w:leader="dot" w:pos="4196"/>
                    </w:tabs>
                  </w:pPr>
                  <w:r>
                    <w:t xml:space="preserve">U.S. Federal Income Tax Summary </w:t>
                  </w:r>
                  <w:r>
                    <w:tab/>
                  </w:r>
                </w:p>
              </w:tc>
              <w:tc>
                <w:tcPr>
                  <w:tcW w:w="750" w:type="pct"/>
                  <w:tcMar>
                    <w:top w:w="39" w:type="dxa"/>
                    <w:left w:w="0" w:type="dxa"/>
                    <w:bottom w:w="0" w:type="dxa"/>
                    <w:right w:w="0" w:type="dxa"/>
                  </w:tcMar>
                </w:tcPr>
                <w:p w14:paraId="137D00A9" w14:textId="74ED5579" w:rsidR="009E5696" w:rsidRDefault="00273474">
                  <w:pPr>
                    <w:pStyle w:val="FontBig"/>
                    <w:jc w:val="right"/>
                  </w:pPr>
                  <w:r>
                    <w:t>PS-</w:t>
                  </w:r>
                  <w:r>
                    <w:fldChar w:fldCharType="begin"/>
                  </w:r>
                  <w:r>
                    <w:instrText xml:space="preserve"> PAGEREF gsTax \h </w:instrText>
                  </w:r>
                  <w:r>
                    <w:fldChar w:fldCharType="separate"/>
                  </w:r>
                  <w:r w:rsidR="00C52DF6">
                    <w:rPr>
                      <w:noProof/>
                    </w:rPr>
                    <w:t>28</w:t>
                  </w:r>
                  <w:r>
                    <w:fldChar w:fldCharType="end"/>
                  </w:r>
                </w:p>
              </w:tc>
            </w:tr>
          </w:tbl>
          <w:p w14:paraId="345A9B6D" w14:textId="77777777" w:rsidR="009E5696" w:rsidRDefault="009E5696">
            <w:pPr>
              <w:pStyle w:val="FontBigSpacing"/>
              <w:jc w:val="center"/>
            </w:pPr>
          </w:p>
          <w:p w14:paraId="13096411" w14:textId="77777777" w:rsidR="009E5696" w:rsidRDefault="00273474">
            <w:pPr>
              <w:pStyle w:val="FontBigSpacing"/>
              <w:ind w:left="-20"/>
              <w:jc w:val="center"/>
            </w:pPr>
            <w:r>
              <w:rPr>
                <w:b/>
                <w:bCs/>
              </w:rPr>
              <w:t>Product Supplement EQUITY-1 dated December 8, 2025</w:t>
            </w:r>
          </w:p>
          <w:tbl>
            <w:tblPr>
              <w:tblW w:w="5000" w:type="pct"/>
              <w:tblLayout w:type="fixed"/>
              <w:tblLook w:val="01E0" w:firstRow="1" w:lastRow="1" w:firstColumn="1" w:lastColumn="1" w:noHBand="0" w:noVBand="0"/>
            </w:tblPr>
            <w:tblGrid>
              <w:gridCol w:w="3949"/>
              <w:gridCol w:w="697"/>
            </w:tblGrid>
            <w:tr w:rsidR="009E5696" w14:paraId="0D85EC6B" w14:textId="77777777">
              <w:tc>
                <w:tcPr>
                  <w:tcW w:w="4250" w:type="pct"/>
                  <w:tcMar>
                    <w:top w:w="39" w:type="dxa"/>
                    <w:left w:w="0" w:type="dxa"/>
                    <w:bottom w:w="0" w:type="dxa"/>
                    <w:right w:w="0" w:type="dxa"/>
                  </w:tcMar>
                </w:tcPr>
                <w:p w14:paraId="6A508DE1" w14:textId="77777777" w:rsidR="009E5696" w:rsidRDefault="00273474">
                  <w:pPr>
                    <w:pStyle w:val="TOC-Alignment"/>
                    <w:tabs>
                      <w:tab w:val="left" w:leader="dot" w:pos="4196"/>
                    </w:tabs>
                    <w:ind w:left="-20"/>
                  </w:pPr>
                  <w:r>
                    <w:t xml:space="preserve">Summary </w:t>
                  </w:r>
                  <w:r>
                    <w:tab/>
                  </w:r>
                </w:p>
              </w:tc>
              <w:tc>
                <w:tcPr>
                  <w:tcW w:w="750" w:type="pct"/>
                  <w:tcMar>
                    <w:top w:w="39" w:type="dxa"/>
                    <w:left w:w="0" w:type="dxa"/>
                    <w:bottom w:w="0" w:type="dxa"/>
                    <w:right w:w="0" w:type="dxa"/>
                  </w:tcMar>
                </w:tcPr>
                <w:p w14:paraId="2F5FE94D" w14:textId="77777777" w:rsidR="009E5696" w:rsidRDefault="00273474">
                  <w:pPr>
                    <w:pStyle w:val="FontBig"/>
                    <w:ind w:left="-20"/>
                    <w:jc w:val="right"/>
                  </w:pPr>
                  <w:r>
                    <w:t>PS-1</w:t>
                  </w:r>
                </w:p>
              </w:tc>
            </w:tr>
            <w:tr w:rsidR="009E5696" w14:paraId="72232AD0" w14:textId="77777777">
              <w:tc>
                <w:tcPr>
                  <w:tcW w:w="4250" w:type="pct"/>
                  <w:tcMar>
                    <w:top w:w="39" w:type="dxa"/>
                    <w:left w:w="0" w:type="dxa"/>
                    <w:bottom w:w="0" w:type="dxa"/>
                    <w:right w:w="0" w:type="dxa"/>
                  </w:tcMar>
                </w:tcPr>
                <w:p w14:paraId="65CB763F" w14:textId="77777777" w:rsidR="009E5696" w:rsidRDefault="00273474">
                  <w:pPr>
                    <w:pStyle w:val="TOC-Alignment"/>
                    <w:tabs>
                      <w:tab w:val="left" w:leader="dot" w:pos="4196"/>
                    </w:tabs>
                    <w:ind w:left="-20"/>
                  </w:pPr>
                  <w:r>
                    <w:t xml:space="preserve">Risk Factors </w:t>
                  </w:r>
                  <w:r>
                    <w:tab/>
                  </w:r>
                </w:p>
              </w:tc>
              <w:tc>
                <w:tcPr>
                  <w:tcW w:w="750" w:type="pct"/>
                  <w:tcMar>
                    <w:top w:w="39" w:type="dxa"/>
                    <w:left w:w="0" w:type="dxa"/>
                    <w:bottom w:w="0" w:type="dxa"/>
                    <w:right w:w="0" w:type="dxa"/>
                  </w:tcMar>
                </w:tcPr>
                <w:p w14:paraId="498443A0" w14:textId="77777777" w:rsidR="009E5696" w:rsidRDefault="00273474">
                  <w:pPr>
                    <w:pStyle w:val="FontBig"/>
                    <w:ind w:left="-20"/>
                    <w:jc w:val="right"/>
                  </w:pPr>
                  <w:r>
                    <w:t>PS-3</w:t>
                  </w:r>
                </w:p>
              </w:tc>
            </w:tr>
            <w:tr w:rsidR="009E5696" w14:paraId="016A6A06" w14:textId="77777777">
              <w:tc>
                <w:tcPr>
                  <w:tcW w:w="4250" w:type="pct"/>
                  <w:tcMar>
                    <w:top w:w="39" w:type="dxa"/>
                    <w:left w:w="0" w:type="dxa"/>
                    <w:bottom w:w="0" w:type="dxa"/>
                    <w:right w:w="0" w:type="dxa"/>
                  </w:tcMar>
                </w:tcPr>
                <w:p w14:paraId="4A2E57A9" w14:textId="77777777" w:rsidR="009E5696" w:rsidRDefault="00273474">
                  <w:pPr>
                    <w:pStyle w:val="TOC-Alignment"/>
                    <w:tabs>
                      <w:tab w:val="left" w:leader="dot" w:pos="4196"/>
                    </w:tabs>
                    <w:ind w:left="-20"/>
                  </w:pPr>
                  <w:r>
                    <w:t xml:space="preserve">Supplemental Use of Proceeds </w:t>
                  </w:r>
                  <w:r>
                    <w:tab/>
                  </w:r>
                </w:p>
              </w:tc>
              <w:tc>
                <w:tcPr>
                  <w:tcW w:w="750" w:type="pct"/>
                  <w:tcMar>
                    <w:top w:w="39" w:type="dxa"/>
                    <w:left w:w="0" w:type="dxa"/>
                    <w:bottom w:w="0" w:type="dxa"/>
                    <w:right w:w="0" w:type="dxa"/>
                  </w:tcMar>
                </w:tcPr>
                <w:p w14:paraId="6EE5D006" w14:textId="77777777" w:rsidR="009E5696" w:rsidRDefault="00273474">
                  <w:pPr>
                    <w:pStyle w:val="FontBig"/>
                    <w:ind w:left="-20"/>
                    <w:jc w:val="right"/>
                  </w:pPr>
                  <w:r>
                    <w:t>PS-15</w:t>
                  </w:r>
                </w:p>
              </w:tc>
            </w:tr>
            <w:tr w:rsidR="009E5696" w14:paraId="70E1494D" w14:textId="77777777">
              <w:tc>
                <w:tcPr>
                  <w:tcW w:w="4250" w:type="pct"/>
                  <w:tcMar>
                    <w:top w:w="39" w:type="dxa"/>
                    <w:left w:w="0" w:type="dxa"/>
                    <w:bottom w:w="0" w:type="dxa"/>
                    <w:right w:w="0" w:type="dxa"/>
                  </w:tcMar>
                </w:tcPr>
                <w:p w14:paraId="6A7214C2" w14:textId="77777777" w:rsidR="009E5696" w:rsidRDefault="00273474">
                  <w:pPr>
                    <w:pStyle w:val="TOC-Alignment"/>
                    <w:tabs>
                      <w:tab w:val="left" w:leader="dot" w:pos="4196"/>
                    </w:tabs>
                  </w:pPr>
                  <w:r>
                    <w:t xml:space="preserve">Description of the Notes </w:t>
                  </w:r>
                  <w:r>
                    <w:tab/>
                  </w:r>
                </w:p>
              </w:tc>
              <w:tc>
                <w:tcPr>
                  <w:tcW w:w="750" w:type="pct"/>
                  <w:tcMar>
                    <w:top w:w="39" w:type="dxa"/>
                    <w:left w:w="0" w:type="dxa"/>
                    <w:bottom w:w="0" w:type="dxa"/>
                    <w:right w:w="0" w:type="dxa"/>
                  </w:tcMar>
                </w:tcPr>
                <w:p w14:paraId="3593599A" w14:textId="77777777" w:rsidR="009E5696" w:rsidRDefault="00273474">
                  <w:pPr>
                    <w:pStyle w:val="FontBig"/>
                    <w:ind w:left="-20"/>
                    <w:jc w:val="right"/>
                  </w:pPr>
                  <w:r>
                    <w:t>PS-16</w:t>
                  </w:r>
                </w:p>
              </w:tc>
            </w:tr>
            <w:tr w:rsidR="009E5696" w14:paraId="2EAA4ECA" w14:textId="77777777">
              <w:tc>
                <w:tcPr>
                  <w:tcW w:w="4250" w:type="pct"/>
                  <w:tcMar>
                    <w:top w:w="39" w:type="dxa"/>
                    <w:left w:w="0" w:type="dxa"/>
                    <w:bottom w:w="0" w:type="dxa"/>
                    <w:right w:w="0" w:type="dxa"/>
                  </w:tcMar>
                </w:tcPr>
                <w:p w14:paraId="0DC5FF72" w14:textId="77777777" w:rsidR="009E5696" w:rsidRDefault="00273474">
                  <w:pPr>
                    <w:pStyle w:val="TOC-Alignment"/>
                    <w:tabs>
                      <w:tab w:val="left" w:leader="dot" w:pos="4196"/>
                    </w:tabs>
                    <w:ind w:left="-20"/>
                  </w:pPr>
                  <w:r>
                    <w:t xml:space="preserve">Supplemental Plan of Distribution; Conflicts of Interest </w:t>
                  </w:r>
                  <w:r>
                    <w:tab/>
                  </w:r>
                </w:p>
              </w:tc>
              <w:tc>
                <w:tcPr>
                  <w:tcW w:w="750" w:type="pct"/>
                  <w:tcMar>
                    <w:top w:w="39" w:type="dxa"/>
                    <w:left w:w="0" w:type="dxa"/>
                    <w:bottom w:w="0" w:type="dxa"/>
                    <w:right w:w="0" w:type="dxa"/>
                  </w:tcMar>
                </w:tcPr>
                <w:p w14:paraId="7FE55E40" w14:textId="77777777" w:rsidR="009E5696" w:rsidRDefault="009E5696">
                  <w:pPr>
                    <w:pStyle w:val="FontBig"/>
                    <w:ind w:left="-20"/>
                    <w:jc w:val="right"/>
                  </w:pPr>
                </w:p>
                <w:p w14:paraId="1D5DB30A" w14:textId="77777777" w:rsidR="009E5696" w:rsidRDefault="00273474">
                  <w:pPr>
                    <w:pStyle w:val="FontBig"/>
                    <w:ind w:left="-20"/>
                    <w:jc w:val="right"/>
                  </w:pPr>
                  <w:r>
                    <w:t>PS-28</w:t>
                  </w:r>
                </w:p>
              </w:tc>
            </w:tr>
          </w:tbl>
          <w:p w14:paraId="569D7226" w14:textId="77777777" w:rsidR="009E5696" w:rsidRDefault="009E5696">
            <w:pPr>
              <w:ind w:left="-20"/>
            </w:pPr>
          </w:p>
          <w:p w14:paraId="713102AE" w14:textId="77777777" w:rsidR="009E5696" w:rsidRDefault="009E5696">
            <w:pPr>
              <w:ind w:left="-20"/>
            </w:pPr>
          </w:p>
          <w:p w14:paraId="0040B61D" w14:textId="77777777" w:rsidR="009E5696" w:rsidRDefault="00273474">
            <w:pPr>
              <w:pStyle w:val="FontBigSpacing"/>
              <w:ind w:left="-20"/>
              <w:jc w:val="center"/>
            </w:pPr>
            <w:r>
              <w:rPr>
                <w:b/>
                <w:bCs/>
              </w:rPr>
              <w:t xml:space="preserve">Prospectus Supplement dated </w:t>
            </w:r>
            <w:r>
              <w:rPr>
                <w:b/>
              </w:rPr>
              <w:t>December 8, 2025</w:t>
            </w:r>
          </w:p>
          <w:tbl>
            <w:tblPr>
              <w:tblW w:w="5000" w:type="pct"/>
              <w:tblLayout w:type="fixed"/>
              <w:tblLook w:val="01E0" w:firstRow="1" w:lastRow="1" w:firstColumn="1" w:lastColumn="1" w:noHBand="0" w:noVBand="0"/>
            </w:tblPr>
            <w:tblGrid>
              <w:gridCol w:w="3949"/>
              <w:gridCol w:w="697"/>
            </w:tblGrid>
            <w:tr w:rsidR="009E5696" w14:paraId="2EE3EBA6" w14:textId="77777777">
              <w:tc>
                <w:tcPr>
                  <w:tcW w:w="4250" w:type="pct"/>
                  <w:tcMar>
                    <w:top w:w="39" w:type="dxa"/>
                    <w:left w:w="0" w:type="dxa"/>
                    <w:bottom w:w="0" w:type="dxa"/>
                    <w:right w:w="0" w:type="dxa"/>
                  </w:tcMar>
                </w:tcPr>
                <w:p w14:paraId="4D973566" w14:textId="77777777" w:rsidR="009E5696" w:rsidRDefault="00273474">
                  <w:pPr>
                    <w:pStyle w:val="TOC-Alignment"/>
                    <w:tabs>
                      <w:tab w:val="left" w:leader="dot" w:pos="4196"/>
                    </w:tabs>
                    <w:ind w:left="-20"/>
                  </w:pPr>
                  <w:r>
                    <w:t xml:space="preserve">About this Prospectus Supplement </w:t>
                  </w:r>
                  <w:r>
                    <w:tab/>
                  </w:r>
                </w:p>
              </w:tc>
              <w:tc>
                <w:tcPr>
                  <w:tcW w:w="750" w:type="pct"/>
                  <w:tcMar>
                    <w:top w:w="39" w:type="dxa"/>
                    <w:left w:w="0" w:type="dxa"/>
                    <w:bottom w:w="0" w:type="dxa"/>
                    <w:right w:w="0" w:type="dxa"/>
                  </w:tcMar>
                </w:tcPr>
                <w:p w14:paraId="3CE8731B" w14:textId="77777777" w:rsidR="009E5696" w:rsidRDefault="00273474">
                  <w:pPr>
                    <w:pStyle w:val="FontBig"/>
                    <w:ind w:left="-20"/>
                    <w:jc w:val="right"/>
                  </w:pPr>
                  <w:r>
                    <w:t>S-1</w:t>
                  </w:r>
                </w:p>
                <w:p w14:paraId="3C94ADFF" w14:textId="77777777" w:rsidR="009E5696" w:rsidRDefault="009E5696">
                  <w:pPr>
                    <w:pStyle w:val="FontBig"/>
                    <w:ind w:left="-20"/>
                    <w:jc w:val="right"/>
                  </w:pPr>
                </w:p>
              </w:tc>
            </w:tr>
            <w:tr w:rsidR="009E5696" w14:paraId="563B3103" w14:textId="77777777">
              <w:tc>
                <w:tcPr>
                  <w:tcW w:w="4250" w:type="pct"/>
                  <w:tcMar>
                    <w:top w:w="39" w:type="dxa"/>
                    <w:left w:w="0" w:type="dxa"/>
                    <w:bottom w:w="0" w:type="dxa"/>
                    <w:right w:w="0" w:type="dxa"/>
                  </w:tcMar>
                </w:tcPr>
                <w:p w14:paraId="78D41B3D" w14:textId="77777777" w:rsidR="009E5696" w:rsidRDefault="00273474">
                  <w:pPr>
                    <w:pStyle w:val="TOC-Alignment"/>
                    <w:tabs>
                      <w:tab w:val="left" w:leader="dot" w:pos="4196"/>
                    </w:tabs>
                    <w:ind w:left="-20"/>
                  </w:pPr>
                  <w:r>
                    <w:t>Risk Factor Summary</w:t>
                  </w:r>
                  <w:r>
                    <w:tab/>
                  </w:r>
                </w:p>
              </w:tc>
              <w:tc>
                <w:tcPr>
                  <w:tcW w:w="750" w:type="pct"/>
                  <w:tcMar>
                    <w:top w:w="39" w:type="dxa"/>
                    <w:left w:w="0" w:type="dxa"/>
                    <w:bottom w:w="0" w:type="dxa"/>
                    <w:right w:w="0" w:type="dxa"/>
                  </w:tcMar>
                </w:tcPr>
                <w:p w14:paraId="7C25EE7D" w14:textId="77777777" w:rsidR="009E5696" w:rsidRDefault="00273474">
                  <w:pPr>
                    <w:pStyle w:val="FontBig"/>
                    <w:ind w:left="-20"/>
                    <w:jc w:val="right"/>
                  </w:pPr>
                  <w:r>
                    <w:t>S-5</w:t>
                  </w:r>
                </w:p>
              </w:tc>
            </w:tr>
            <w:tr w:rsidR="009E5696" w14:paraId="5862C3EF" w14:textId="77777777">
              <w:tc>
                <w:tcPr>
                  <w:tcW w:w="4250" w:type="pct"/>
                  <w:tcMar>
                    <w:top w:w="39" w:type="dxa"/>
                    <w:left w:w="0" w:type="dxa"/>
                    <w:bottom w:w="0" w:type="dxa"/>
                    <w:right w:w="0" w:type="dxa"/>
                  </w:tcMar>
                </w:tcPr>
                <w:p w14:paraId="37D426D1" w14:textId="77777777" w:rsidR="009E5696" w:rsidRDefault="00273474">
                  <w:pPr>
                    <w:pStyle w:val="TOC-Alignment"/>
                    <w:tabs>
                      <w:tab w:val="left" w:leader="dot" w:pos="4196"/>
                    </w:tabs>
                    <w:ind w:left="-20"/>
                  </w:pPr>
                  <w:r>
                    <w:t xml:space="preserve">Risk Factors </w:t>
                  </w:r>
                  <w:r>
                    <w:tab/>
                  </w:r>
                </w:p>
              </w:tc>
              <w:tc>
                <w:tcPr>
                  <w:tcW w:w="750" w:type="pct"/>
                  <w:tcMar>
                    <w:top w:w="39" w:type="dxa"/>
                    <w:left w:w="0" w:type="dxa"/>
                    <w:bottom w:w="0" w:type="dxa"/>
                    <w:right w:w="0" w:type="dxa"/>
                  </w:tcMar>
                </w:tcPr>
                <w:p w14:paraId="60E1FAE3" w14:textId="77777777" w:rsidR="009E5696" w:rsidRDefault="00273474">
                  <w:pPr>
                    <w:pStyle w:val="FontBig"/>
                    <w:ind w:left="-20"/>
                    <w:jc w:val="right"/>
                  </w:pPr>
                  <w:r>
                    <w:t>S-7</w:t>
                  </w:r>
                </w:p>
              </w:tc>
            </w:tr>
            <w:tr w:rsidR="009E5696" w14:paraId="023BB241" w14:textId="77777777">
              <w:tc>
                <w:tcPr>
                  <w:tcW w:w="4250" w:type="pct"/>
                  <w:tcMar>
                    <w:top w:w="39" w:type="dxa"/>
                    <w:left w:w="0" w:type="dxa"/>
                    <w:bottom w:w="0" w:type="dxa"/>
                    <w:right w:w="0" w:type="dxa"/>
                  </w:tcMar>
                </w:tcPr>
                <w:p w14:paraId="6003901F" w14:textId="77777777" w:rsidR="009E5696" w:rsidRDefault="00273474">
                  <w:pPr>
                    <w:pStyle w:val="TOC-Alignment"/>
                    <w:tabs>
                      <w:tab w:val="left" w:leader="dot" w:pos="4196"/>
                    </w:tabs>
                    <w:ind w:left="-20"/>
                  </w:pPr>
                  <w:r>
                    <w:t xml:space="preserve">Description of the BofA Finance Notes </w:t>
                  </w:r>
                  <w:r>
                    <w:tab/>
                    <w:t xml:space="preserve"> </w:t>
                  </w:r>
                </w:p>
              </w:tc>
              <w:tc>
                <w:tcPr>
                  <w:tcW w:w="750" w:type="pct"/>
                  <w:tcMar>
                    <w:top w:w="39" w:type="dxa"/>
                    <w:left w:w="0" w:type="dxa"/>
                    <w:bottom w:w="0" w:type="dxa"/>
                    <w:right w:w="0" w:type="dxa"/>
                  </w:tcMar>
                </w:tcPr>
                <w:p w14:paraId="03BCEF79" w14:textId="77777777" w:rsidR="009E5696" w:rsidRDefault="00273474">
                  <w:pPr>
                    <w:pStyle w:val="FontBig"/>
                    <w:ind w:left="-20"/>
                    <w:jc w:val="right"/>
                  </w:pPr>
                  <w:r>
                    <w:t>S-24</w:t>
                  </w:r>
                </w:p>
              </w:tc>
            </w:tr>
            <w:tr w:rsidR="009E5696" w14:paraId="34785F56" w14:textId="77777777">
              <w:tc>
                <w:tcPr>
                  <w:tcW w:w="4250" w:type="pct"/>
                  <w:tcMar>
                    <w:top w:w="39" w:type="dxa"/>
                    <w:left w:w="0" w:type="dxa"/>
                    <w:bottom w:w="0" w:type="dxa"/>
                    <w:right w:w="0" w:type="dxa"/>
                  </w:tcMar>
                </w:tcPr>
                <w:p w14:paraId="47320B0E" w14:textId="77777777" w:rsidR="009E5696" w:rsidRDefault="00273474">
                  <w:pPr>
                    <w:pStyle w:val="TOC-Alignment"/>
                    <w:tabs>
                      <w:tab w:val="left" w:leader="dot" w:pos="4196"/>
                    </w:tabs>
                    <w:ind w:left="-20"/>
                  </w:pPr>
                  <w:r>
                    <w:t xml:space="preserve">Supplemental Plan of Distribution (Conflicts of Interest) </w:t>
                  </w:r>
                  <w:r>
                    <w:tab/>
                  </w:r>
                </w:p>
              </w:tc>
              <w:tc>
                <w:tcPr>
                  <w:tcW w:w="750" w:type="pct"/>
                  <w:tcMar>
                    <w:top w:w="39" w:type="dxa"/>
                    <w:left w:w="0" w:type="dxa"/>
                    <w:bottom w:w="0" w:type="dxa"/>
                    <w:right w:w="0" w:type="dxa"/>
                  </w:tcMar>
                </w:tcPr>
                <w:p w14:paraId="65DEEEB4" w14:textId="77777777" w:rsidR="009E5696" w:rsidRDefault="00273474">
                  <w:pPr>
                    <w:pStyle w:val="FontBig"/>
                    <w:ind w:left="-20"/>
                    <w:jc w:val="right"/>
                  </w:pPr>
                  <w:r>
                    <w:t>S-67</w:t>
                  </w:r>
                </w:p>
              </w:tc>
            </w:tr>
            <w:tr w:rsidR="009E5696" w14:paraId="424E2D92" w14:textId="77777777">
              <w:tc>
                <w:tcPr>
                  <w:tcW w:w="4250" w:type="pct"/>
                  <w:tcMar>
                    <w:top w:w="39" w:type="dxa"/>
                    <w:left w:w="0" w:type="dxa"/>
                    <w:bottom w:w="0" w:type="dxa"/>
                    <w:right w:w="0" w:type="dxa"/>
                  </w:tcMar>
                </w:tcPr>
                <w:p w14:paraId="08EE27F5" w14:textId="77777777" w:rsidR="009E5696" w:rsidRDefault="00273474">
                  <w:pPr>
                    <w:pStyle w:val="TOC-Alignment"/>
                    <w:tabs>
                      <w:tab w:val="left" w:leader="dot" w:pos="4196"/>
                    </w:tabs>
                    <w:ind w:left="-20"/>
                  </w:pPr>
                  <w:r>
                    <w:t xml:space="preserve">Legal Matters </w:t>
                  </w:r>
                  <w:r>
                    <w:tab/>
                  </w:r>
                </w:p>
              </w:tc>
              <w:tc>
                <w:tcPr>
                  <w:tcW w:w="750" w:type="pct"/>
                  <w:tcMar>
                    <w:top w:w="39" w:type="dxa"/>
                    <w:left w:w="0" w:type="dxa"/>
                    <w:bottom w:w="0" w:type="dxa"/>
                    <w:right w:w="0" w:type="dxa"/>
                  </w:tcMar>
                </w:tcPr>
                <w:p w14:paraId="337FA0F2" w14:textId="77777777" w:rsidR="009E5696" w:rsidRDefault="00273474">
                  <w:pPr>
                    <w:pStyle w:val="FontBig"/>
                    <w:ind w:left="-20"/>
                    <w:jc w:val="right"/>
                  </w:pPr>
                  <w:r>
                    <w:t>S-91</w:t>
                  </w:r>
                </w:p>
              </w:tc>
            </w:tr>
          </w:tbl>
          <w:p w14:paraId="4C3702B8" w14:textId="77777777" w:rsidR="009E5696" w:rsidRDefault="009E5696">
            <w:pPr>
              <w:ind w:left="-20"/>
            </w:pPr>
          </w:p>
          <w:p w14:paraId="75702E06" w14:textId="77777777" w:rsidR="009E5696" w:rsidRDefault="009E5696">
            <w:pPr>
              <w:ind w:left="-20"/>
            </w:pPr>
          </w:p>
          <w:p w14:paraId="6BA28C92" w14:textId="77777777" w:rsidR="009E5696" w:rsidRDefault="00273474">
            <w:pPr>
              <w:pStyle w:val="FontBigSpacing"/>
              <w:ind w:left="-20"/>
              <w:jc w:val="center"/>
            </w:pPr>
            <w:r>
              <w:rPr>
                <w:b/>
                <w:bCs/>
              </w:rPr>
              <w:t xml:space="preserve">Prospectus dated </w:t>
            </w:r>
            <w:r>
              <w:rPr>
                <w:b/>
              </w:rPr>
              <w:t>December 8, 2025</w:t>
            </w:r>
          </w:p>
          <w:tbl>
            <w:tblPr>
              <w:tblW w:w="5000" w:type="pct"/>
              <w:tblLayout w:type="fixed"/>
              <w:tblLook w:val="01E0" w:firstRow="1" w:lastRow="1" w:firstColumn="1" w:lastColumn="1" w:noHBand="0" w:noVBand="0"/>
            </w:tblPr>
            <w:tblGrid>
              <w:gridCol w:w="3949"/>
              <w:gridCol w:w="697"/>
            </w:tblGrid>
            <w:tr w:rsidR="009E5696" w14:paraId="3F699E9A" w14:textId="77777777">
              <w:tc>
                <w:tcPr>
                  <w:tcW w:w="4250" w:type="pct"/>
                  <w:tcMar>
                    <w:top w:w="39" w:type="dxa"/>
                    <w:left w:w="0" w:type="dxa"/>
                    <w:bottom w:w="0" w:type="dxa"/>
                    <w:right w:w="0" w:type="dxa"/>
                  </w:tcMar>
                </w:tcPr>
                <w:p w14:paraId="55F7A88F" w14:textId="77777777" w:rsidR="009E5696" w:rsidRDefault="00273474">
                  <w:pPr>
                    <w:pStyle w:val="TOC-Alignment"/>
                    <w:tabs>
                      <w:tab w:val="left" w:leader="dot" w:pos="4196"/>
                    </w:tabs>
                    <w:ind w:left="-20"/>
                  </w:pPr>
                  <w:r>
                    <w:t xml:space="preserve">About this Prospectus </w:t>
                  </w:r>
                  <w:r>
                    <w:tab/>
                    <w:t xml:space="preserve"> </w:t>
                  </w:r>
                </w:p>
              </w:tc>
              <w:tc>
                <w:tcPr>
                  <w:tcW w:w="750" w:type="pct"/>
                  <w:tcMar>
                    <w:top w:w="39" w:type="dxa"/>
                    <w:left w:w="0" w:type="dxa"/>
                    <w:bottom w:w="0" w:type="dxa"/>
                    <w:right w:w="0" w:type="dxa"/>
                  </w:tcMar>
                </w:tcPr>
                <w:p w14:paraId="190A68F8" w14:textId="77777777" w:rsidR="009E5696" w:rsidRDefault="00273474">
                  <w:pPr>
                    <w:pStyle w:val="FontBig"/>
                    <w:ind w:left="-20"/>
                    <w:jc w:val="right"/>
                  </w:pPr>
                  <w:r>
                    <w:t>1</w:t>
                  </w:r>
                </w:p>
              </w:tc>
            </w:tr>
            <w:tr w:rsidR="009E5696" w14:paraId="39346498" w14:textId="77777777">
              <w:tc>
                <w:tcPr>
                  <w:tcW w:w="4250" w:type="pct"/>
                  <w:tcMar>
                    <w:top w:w="39" w:type="dxa"/>
                    <w:left w:w="0" w:type="dxa"/>
                    <w:bottom w:w="0" w:type="dxa"/>
                    <w:right w:w="0" w:type="dxa"/>
                  </w:tcMar>
                </w:tcPr>
                <w:p w14:paraId="51F64FBD" w14:textId="77777777" w:rsidR="009E5696" w:rsidRDefault="00273474">
                  <w:pPr>
                    <w:pStyle w:val="TOC-Alignment"/>
                    <w:tabs>
                      <w:tab w:val="left" w:leader="dot" w:pos="4196"/>
                    </w:tabs>
                    <w:ind w:left="-20"/>
                  </w:pPr>
                  <w:r>
                    <w:lastRenderedPageBreak/>
                    <w:t xml:space="preserve">Prospectus Summary </w:t>
                  </w:r>
                  <w:r>
                    <w:tab/>
                    <w:t xml:space="preserve"> </w:t>
                  </w:r>
                </w:p>
              </w:tc>
              <w:tc>
                <w:tcPr>
                  <w:tcW w:w="750" w:type="pct"/>
                  <w:tcMar>
                    <w:top w:w="39" w:type="dxa"/>
                    <w:left w:w="0" w:type="dxa"/>
                    <w:bottom w:w="0" w:type="dxa"/>
                    <w:right w:w="0" w:type="dxa"/>
                  </w:tcMar>
                </w:tcPr>
                <w:p w14:paraId="715DDEAC" w14:textId="77777777" w:rsidR="009E5696" w:rsidRDefault="00273474">
                  <w:pPr>
                    <w:pStyle w:val="FontBig"/>
                    <w:tabs>
                      <w:tab w:val="center" w:pos="338"/>
                      <w:tab w:val="right" w:pos="697"/>
                    </w:tabs>
                    <w:ind w:left="-20"/>
                  </w:pPr>
                  <w:r>
                    <w:tab/>
                  </w:r>
                  <w:r>
                    <w:tab/>
                    <w:t>3</w:t>
                  </w:r>
                </w:p>
              </w:tc>
            </w:tr>
            <w:tr w:rsidR="009E5696" w14:paraId="48416F08" w14:textId="77777777">
              <w:tc>
                <w:tcPr>
                  <w:tcW w:w="4250" w:type="pct"/>
                  <w:tcMar>
                    <w:top w:w="39" w:type="dxa"/>
                    <w:left w:w="0" w:type="dxa"/>
                    <w:bottom w:w="0" w:type="dxa"/>
                    <w:right w:w="0" w:type="dxa"/>
                  </w:tcMar>
                </w:tcPr>
                <w:p w14:paraId="2A03FBA7" w14:textId="77777777" w:rsidR="009E5696" w:rsidRDefault="00273474">
                  <w:pPr>
                    <w:pStyle w:val="TOC-Alignment"/>
                    <w:tabs>
                      <w:tab w:val="left" w:leader="dot" w:pos="4196"/>
                    </w:tabs>
                    <w:ind w:left="-20"/>
                  </w:pPr>
                  <w:r>
                    <w:t xml:space="preserve">Risk Factors </w:t>
                  </w:r>
                  <w:r>
                    <w:tab/>
                    <w:t xml:space="preserve"> </w:t>
                  </w:r>
                </w:p>
              </w:tc>
              <w:tc>
                <w:tcPr>
                  <w:tcW w:w="750" w:type="pct"/>
                  <w:tcMar>
                    <w:top w:w="39" w:type="dxa"/>
                    <w:left w:w="0" w:type="dxa"/>
                    <w:bottom w:w="0" w:type="dxa"/>
                    <w:right w:w="0" w:type="dxa"/>
                  </w:tcMar>
                </w:tcPr>
                <w:p w14:paraId="75DA06BD" w14:textId="77777777" w:rsidR="009E5696" w:rsidRDefault="00273474">
                  <w:pPr>
                    <w:pStyle w:val="FontBig"/>
                    <w:ind w:left="-20"/>
                    <w:jc w:val="right"/>
                  </w:pPr>
                  <w:r>
                    <w:t>7</w:t>
                  </w:r>
                </w:p>
              </w:tc>
            </w:tr>
            <w:tr w:rsidR="009E5696" w14:paraId="5B9C418C" w14:textId="77777777">
              <w:tc>
                <w:tcPr>
                  <w:tcW w:w="4250" w:type="pct"/>
                  <w:tcMar>
                    <w:top w:w="39" w:type="dxa"/>
                    <w:left w:w="0" w:type="dxa"/>
                    <w:bottom w:w="0" w:type="dxa"/>
                    <w:right w:w="0" w:type="dxa"/>
                  </w:tcMar>
                </w:tcPr>
                <w:p w14:paraId="114D4ED1" w14:textId="77777777" w:rsidR="009E5696" w:rsidRDefault="00273474">
                  <w:pPr>
                    <w:pStyle w:val="TOC-Alignment"/>
                    <w:tabs>
                      <w:tab w:val="left" w:leader="dot" w:pos="4196"/>
                    </w:tabs>
                    <w:ind w:left="-20"/>
                  </w:pPr>
                  <w:r>
                    <w:t xml:space="preserve">Bank of America Corporation </w:t>
                  </w:r>
                  <w:r>
                    <w:tab/>
                    <w:t xml:space="preserve"> </w:t>
                  </w:r>
                </w:p>
              </w:tc>
              <w:tc>
                <w:tcPr>
                  <w:tcW w:w="750" w:type="pct"/>
                  <w:tcMar>
                    <w:top w:w="39" w:type="dxa"/>
                    <w:left w:w="0" w:type="dxa"/>
                    <w:bottom w:w="0" w:type="dxa"/>
                    <w:right w:w="0" w:type="dxa"/>
                  </w:tcMar>
                </w:tcPr>
                <w:p w14:paraId="5DD55149" w14:textId="77777777" w:rsidR="009E5696" w:rsidRDefault="00273474">
                  <w:pPr>
                    <w:pStyle w:val="FontBig"/>
                    <w:ind w:left="-20"/>
                    <w:jc w:val="right"/>
                  </w:pPr>
                  <w:r>
                    <w:t>15</w:t>
                  </w:r>
                </w:p>
              </w:tc>
            </w:tr>
            <w:tr w:rsidR="009E5696" w14:paraId="5CD8CBF9" w14:textId="77777777">
              <w:tc>
                <w:tcPr>
                  <w:tcW w:w="4250" w:type="pct"/>
                  <w:tcMar>
                    <w:top w:w="39" w:type="dxa"/>
                    <w:left w:w="0" w:type="dxa"/>
                    <w:bottom w:w="0" w:type="dxa"/>
                    <w:right w:w="0" w:type="dxa"/>
                  </w:tcMar>
                </w:tcPr>
                <w:p w14:paraId="148B8482" w14:textId="77777777" w:rsidR="009E5696" w:rsidRDefault="00273474">
                  <w:pPr>
                    <w:pStyle w:val="TOC-Alignment"/>
                    <w:tabs>
                      <w:tab w:val="left" w:leader="dot" w:pos="4196"/>
                    </w:tabs>
                    <w:ind w:left="-20"/>
                  </w:pPr>
                  <w:r>
                    <w:t xml:space="preserve">BofA Finance LLC </w:t>
                  </w:r>
                  <w:r>
                    <w:tab/>
                    <w:t xml:space="preserve"> </w:t>
                  </w:r>
                </w:p>
              </w:tc>
              <w:tc>
                <w:tcPr>
                  <w:tcW w:w="750" w:type="pct"/>
                  <w:tcMar>
                    <w:top w:w="39" w:type="dxa"/>
                    <w:left w:w="0" w:type="dxa"/>
                    <w:bottom w:w="0" w:type="dxa"/>
                    <w:right w:w="0" w:type="dxa"/>
                  </w:tcMar>
                </w:tcPr>
                <w:p w14:paraId="4767313D" w14:textId="77777777" w:rsidR="009E5696" w:rsidRDefault="00273474">
                  <w:pPr>
                    <w:pStyle w:val="FontBig"/>
                    <w:ind w:left="-20"/>
                    <w:jc w:val="right"/>
                  </w:pPr>
                  <w:r>
                    <w:t>15</w:t>
                  </w:r>
                </w:p>
              </w:tc>
            </w:tr>
            <w:tr w:rsidR="009E5696" w14:paraId="00E1453E" w14:textId="77777777">
              <w:tc>
                <w:tcPr>
                  <w:tcW w:w="4250" w:type="pct"/>
                  <w:tcMar>
                    <w:top w:w="39" w:type="dxa"/>
                    <w:left w:w="0" w:type="dxa"/>
                    <w:bottom w:w="0" w:type="dxa"/>
                    <w:right w:w="0" w:type="dxa"/>
                  </w:tcMar>
                </w:tcPr>
                <w:p w14:paraId="0415EEFF" w14:textId="77777777" w:rsidR="009E5696" w:rsidRDefault="00273474">
                  <w:pPr>
                    <w:pStyle w:val="TOC-Alignment"/>
                    <w:tabs>
                      <w:tab w:val="left" w:leader="dot" w:pos="4196"/>
                    </w:tabs>
                    <w:ind w:left="-20"/>
                  </w:pPr>
                  <w:r>
                    <w:t xml:space="preserve">Use of Proceeds </w:t>
                  </w:r>
                  <w:r>
                    <w:tab/>
                  </w:r>
                </w:p>
              </w:tc>
              <w:tc>
                <w:tcPr>
                  <w:tcW w:w="750" w:type="pct"/>
                  <w:tcMar>
                    <w:top w:w="39" w:type="dxa"/>
                    <w:left w:w="0" w:type="dxa"/>
                    <w:bottom w:w="0" w:type="dxa"/>
                    <w:right w:w="0" w:type="dxa"/>
                  </w:tcMar>
                </w:tcPr>
                <w:p w14:paraId="587E5074" w14:textId="77777777" w:rsidR="009E5696" w:rsidRDefault="00273474">
                  <w:pPr>
                    <w:pStyle w:val="FontBig"/>
                    <w:ind w:left="-20"/>
                    <w:jc w:val="right"/>
                  </w:pPr>
                  <w:r>
                    <w:t>15</w:t>
                  </w:r>
                </w:p>
              </w:tc>
            </w:tr>
            <w:tr w:rsidR="009E5696" w14:paraId="18FCA8B8" w14:textId="77777777">
              <w:tc>
                <w:tcPr>
                  <w:tcW w:w="4250" w:type="pct"/>
                  <w:tcMar>
                    <w:top w:w="39" w:type="dxa"/>
                    <w:left w:w="0" w:type="dxa"/>
                    <w:bottom w:w="0" w:type="dxa"/>
                    <w:right w:w="0" w:type="dxa"/>
                  </w:tcMar>
                </w:tcPr>
                <w:p w14:paraId="5D29F97E" w14:textId="77777777" w:rsidR="009E5696" w:rsidRDefault="00273474">
                  <w:pPr>
                    <w:pStyle w:val="TOC-Alignment"/>
                    <w:tabs>
                      <w:tab w:val="left" w:leader="dot" w:pos="4196"/>
                    </w:tabs>
                    <w:ind w:left="-20"/>
                  </w:pPr>
                  <w:r>
                    <w:t xml:space="preserve">Description of Debt Securities of Bank of America Corporation </w:t>
                  </w:r>
                  <w:r>
                    <w:tab/>
                  </w:r>
                </w:p>
              </w:tc>
              <w:tc>
                <w:tcPr>
                  <w:tcW w:w="750" w:type="pct"/>
                  <w:tcMar>
                    <w:top w:w="39" w:type="dxa"/>
                    <w:left w:w="0" w:type="dxa"/>
                    <w:bottom w:w="0" w:type="dxa"/>
                    <w:right w:w="0" w:type="dxa"/>
                  </w:tcMar>
                </w:tcPr>
                <w:p w14:paraId="2E5549CA" w14:textId="77777777" w:rsidR="009E5696" w:rsidRDefault="00273474">
                  <w:pPr>
                    <w:pStyle w:val="FontBig"/>
                    <w:ind w:left="-20"/>
                    <w:jc w:val="right"/>
                  </w:pPr>
                  <w:r>
                    <w:t>16</w:t>
                  </w:r>
                </w:p>
              </w:tc>
            </w:tr>
            <w:tr w:rsidR="009E5696" w14:paraId="0046C4E2" w14:textId="77777777">
              <w:tc>
                <w:tcPr>
                  <w:tcW w:w="4250" w:type="pct"/>
                  <w:tcMar>
                    <w:top w:w="39" w:type="dxa"/>
                    <w:left w:w="0" w:type="dxa"/>
                    <w:bottom w:w="0" w:type="dxa"/>
                    <w:right w:w="0" w:type="dxa"/>
                  </w:tcMar>
                </w:tcPr>
                <w:p w14:paraId="2FE1689F" w14:textId="77777777" w:rsidR="009E5696" w:rsidRDefault="00273474">
                  <w:pPr>
                    <w:pStyle w:val="TOC-Alignment"/>
                    <w:tabs>
                      <w:tab w:val="left" w:leader="dot" w:pos="4196"/>
                    </w:tabs>
                    <w:ind w:left="-20"/>
                  </w:pPr>
                  <w:r>
                    <w:t xml:space="preserve">Description of Debt Securities of BofA Finance LLC </w:t>
                  </w:r>
                  <w:r>
                    <w:tab/>
                  </w:r>
                </w:p>
              </w:tc>
              <w:tc>
                <w:tcPr>
                  <w:tcW w:w="750" w:type="pct"/>
                  <w:tcMar>
                    <w:top w:w="39" w:type="dxa"/>
                    <w:left w:w="0" w:type="dxa"/>
                    <w:bottom w:w="0" w:type="dxa"/>
                    <w:right w:w="0" w:type="dxa"/>
                  </w:tcMar>
                </w:tcPr>
                <w:p w14:paraId="75776411" w14:textId="77777777" w:rsidR="009E5696" w:rsidRDefault="00273474">
                  <w:pPr>
                    <w:pStyle w:val="FontBig"/>
                    <w:ind w:left="-20"/>
                    <w:jc w:val="right"/>
                  </w:pPr>
                  <w:r>
                    <w:t>37</w:t>
                  </w:r>
                </w:p>
              </w:tc>
            </w:tr>
            <w:tr w:rsidR="009E5696" w14:paraId="34ABABA3" w14:textId="77777777">
              <w:tc>
                <w:tcPr>
                  <w:tcW w:w="4250" w:type="pct"/>
                  <w:tcMar>
                    <w:top w:w="39" w:type="dxa"/>
                    <w:left w:w="0" w:type="dxa"/>
                    <w:bottom w:w="0" w:type="dxa"/>
                    <w:right w:w="0" w:type="dxa"/>
                  </w:tcMar>
                </w:tcPr>
                <w:p w14:paraId="35FBCA60" w14:textId="77777777" w:rsidR="009E5696" w:rsidRDefault="00273474">
                  <w:pPr>
                    <w:pStyle w:val="TOC-Alignment"/>
                    <w:tabs>
                      <w:tab w:val="left" w:leader="dot" w:pos="4196"/>
                    </w:tabs>
                    <w:ind w:left="-20"/>
                  </w:pPr>
                  <w:r>
                    <w:t>Description of Warrants of BofA Finance LLC</w:t>
                  </w:r>
                  <w:r>
                    <w:tab/>
                  </w:r>
                </w:p>
              </w:tc>
              <w:tc>
                <w:tcPr>
                  <w:tcW w:w="750" w:type="pct"/>
                  <w:tcMar>
                    <w:top w:w="39" w:type="dxa"/>
                    <w:left w:w="0" w:type="dxa"/>
                    <w:bottom w:w="0" w:type="dxa"/>
                    <w:right w:w="0" w:type="dxa"/>
                  </w:tcMar>
                </w:tcPr>
                <w:p w14:paraId="178F882A" w14:textId="77777777" w:rsidR="009E5696" w:rsidRDefault="009E5696">
                  <w:pPr>
                    <w:pStyle w:val="FontBig"/>
                    <w:ind w:left="-20"/>
                    <w:jc w:val="right"/>
                    <w:rPr>
                      <w:szCs w:val="18"/>
                    </w:rPr>
                  </w:pPr>
                </w:p>
                <w:p w14:paraId="78677976" w14:textId="77777777" w:rsidR="009E5696" w:rsidRDefault="00273474">
                  <w:pPr>
                    <w:jc w:val="right"/>
                    <w:rPr>
                      <w:sz w:val="18"/>
                      <w:szCs w:val="18"/>
                    </w:rPr>
                  </w:pPr>
                  <w:r>
                    <w:rPr>
                      <w:sz w:val="18"/>
                      <w:szCs w:val="18"/>
                    </w:rPr>
                    <w:t>59</w:t>
                  </w:r>
                </w:p>
              </w:tc>
            </w:tr>
            <w:tr w:rsidR="009E5696" w14:paraId="55A7246E" w14:textId="77777777">
              <w:tc>
                <w:tcPr>
                  <w:tcW w:w="4250" w:type="pct"/>
                  <w:tcMar>
                    <w:top w:w="39" w:type="dxa"/>
                    <w:left w:w="0" w:type="dxa"/>
                    <w:bottom w:w="0" w:type="dxa"/>
                    <w:right w:w="0" w:type="dxa"/>
                  </w:tcMar>
                </w:tcPr>
                <w:p w14:paraId="38E46B26" w14:textId="77777777" w:rsidR="009E5696" w:rsidRDefault="00273474">
                  <w:pPr>
                    <w:pStyle w:val="TOC-Alignment"/>
                    <w:tabs>
                      <w:tab w:val="left" w:leader="dot" w:pos="4196"/>
                    </w:tabs>
                    <w:ind w:left="-20"/>
                  </w:pPr>
                  <w:r>
                    <w:t xml:space="preserve">Registration and Settlement </w:t>
                  </w:r>
                  <w:r>
                    <w:tab/>
                    <w:t xml:space="preserve"> </w:t>
                  </w:r>
                </w:p>
              </w:tc>
              <w:tc>
                <w:tcPr>
                  <w:tcW w:w="750" w:type="pct"/>
                  <w:tcMar>
                    <w:top w:w="39" w:type="dxa"/>
                    <w:left w:w="0" w:type="dxa"/>
                    <w:bottom w:w="0" w:type="dxa"/>
                    <w:right w:w="0" w:type="dxa"/>
                  </w:tcMar>
                </w:tcPr>
                <w:p w14:paraId="2DEF6FF7" w14:textId="77777777" w:rsidR="009E5696" w:rsidRDefault="00273474">
                  <w:pPr>
                    <w:pStyle w:val="FontBig"/>
                    <w:tabs>
                      <w:tab w:val="center" w:pos="338"/>
                      <w:tab w:val="right" w:pos="697"/>
                    </w:tabs>
                    <w:ind w:left="-20"/>
                  </w:pPr>
                  <w:r>
                    <w:tab/>
                  </w:r>
                  <w:r>
                    <w:tab/>
                    <w:t>67</w:t>
                  </w:r>
                </w:p>
              </w:tc>
            </w:tr>
            <w:tr w:rsidR="009E5696" w14:paraId="6A6E7D9A" w14:textId="77777777">
              <w:tc>
                <w:tcPr>
                  <w:tcW w:w="4250" w:type="pct"/>
                  <w:tcMar>
                    <w:top w:w="39" w:type="dxa"/>
                    <w:left w:w="0" w:type="dxa"/>
                    <w:bottom w:w="0" w:type="dxa"/>
                    <w:right w:w="0" w:type="dxa"/>
                  </w:tcMar>
                </w:tcPr>
                <w:p w14:paraId="082D77AA" w14:textId="77777777" w:rsidR="009E5696" w:rsidRDefault="00273474">
                  <w:pPr>
                    <w:pStyle w:val="TOC-Alignment"/>
                    <w:tabs>
                      <w:tab w:val="left" w:leader="dot" w:pos="4196"/>
                    </w:tabs>
                    <w:ind w:left="-20"/>
                  </w:pPr>
                  <w:r>
                    <w:t xml:space="preserve">U.S. Federal Income Tax Considerations </w:t>
                  </w:r>
                  <w:r>
                    <w:tab/>
                  </w:r>
                </w:p>
              </w:tc>
              <w:tc>
                <w:tcPr>
                  <w:tcW w:w="750" w:type="pct"/>
                  <w:tcMar>
                    <w:top w:w="39" w:type="dxa"/>
                    <w:left w:w="0" w:type="dxa"/>
                    <w:bottom w:w="0" w:type="dxa"/>
                    <w:right w:w="0" w:type="dxa"/>
                  </w:tcMar>
                </w:tcPr>
                <w:p w14:paraId="53547738" w14:textId="77777777" w:rsidR="009E5696" w:rsidRDefault="00273474">
                  <w:pPr>
                    <w:pStyle w:val="FontBig"/>
                    <w:ind w:left="-20"/>
                    <w:jc w:val="right"/>
                  </w:pPr>
                  <w:r>
                    <w:t>75</w:t>
                  </w:r>
                </w:p>
              </w:tc>
            </w:tr>
            <w:tr w:rsidR="009E5696" w14:paraId="1155CD7C" w14:textId="77777777">
              <w:tc>
                <w:tcPr>
                  <w:tcW w:w="4250" w:type="pct"/>
                  <w:tcMar>
                    <w:top w:w="39" w:type="dxa"/>
                    <w:left w:w="0" w:type="dxa"/>
                    <w:bottom w:w="0" w:type="dxa"/>
                    <w:right w:w="0" w:type="dxa"/>
                  </w:tcMar>
                </w:tcPr>
                <w:p w14:paraId="2BD56A1E" w14:textId="77777777" w:rsidR="009E5696" w:rsidRDefault="00273474">
                  <w:pPr>
                    <w:pStyle w:val="TOC-Alignment"/>
                    <w:tabs>
                      <w:tab w:val="left" w:leader="dot" w:pos="4196"/>
                    </w:tabs>
                    <w:ind w:left="-20"/>
                  </w:pPr>
                  <w:r>
                    <w:t xml:space="preserve">Plan of Distribution (Conflicts of Interest) </w:t>
                  </w:r>
                  <w:r>
                    <w:tab/>
                  </w:r>
                </w:p>
              </w:tc>
              <w:tc>
                <w:tcPr>
                  <w:tcW w:w="750" w:type="pct"/>
                  <w:tcMar>
                    <w:top w:w="39" w:type="dxa"/>
                    <w:left w:w="0" w:type="dxa"/>
                    <w:bottom w:w="0" w:type="dxa"/>
                    <w:right w:w="0" w:type="dxa"/>
                  </w:tcMar>
                </w:tcPr>
                <w:p w14:paraId="3554CD54" w14:textId="77777777" w:rsidR="009E5696" w:rsidRDefault="00273474">
                  <w:pPr>
                    <w:pStyle w:val="FontBig"/>
                    <w:ind w:left="-20"/>
                    <w:jc w:val="right"/>
                  </w:pPr>
                  <w:r>
                    <w:t>94</w:t>
                  </w:r>
                </w:p>
              </w:tc>
            </w:tr>
            <w:tr w:rsidR="009E5696" w14:paraId="1A4656F3" w14:textId="77777777">
              <w:tc>
                <w:tcPr>
                  <w:tcW w:w="4250" w:type="pct"/>
                  <w:tcMar>
                    <w:top w:w="39" w:type="dxa"/>
                    <w:left w:w="0" w:type="dxa"/>
                    <w:bottom w:w="0" w:type="dxa"/>
                    <w:right w:w="0" w:type="dxa"/>
                  </w:tcMar>
                </w:tcPr>
                <w:p w14:paraId="23B8C9D7" w14:textId="77777777" w:rsidR="009E5696" w:rsidRDefault="00273474">
                  <w:pPr>
                    <w:pStyle w:val="TOC-Alignment"/>
                    <w:tabs>
                      <w:tab w:val="left" w:leader="dot" w:pos="4196"/>
                    </w:tabs>
                    <w:ind w:left="-20"/>
                  </w:pPr>
                  <w:r>
                    <w:t xml:space="preserve">ERISA Considerations </w:t>
                  </w:r>
                  <w:r>
                    <w:tab/>
                    <w:t xml:space="preserve"> </w:t>
                  </w:r>
                </w:p>
              </w:tc>
              <w:tc>
                <w:tcPr>
                  <w:tcW w:w="750" w:type="pct"/>
                  <w:tcMar>
                    <w:top w:w="39" w:type="dxa"/>
                    <w:left w:w="0" w:type="dxa"/>
                    <w:bottom w:w="0" w:type="dxa"/>
                    <w:right w:w="0" w:type="dxa"/>
                  </w:tcMar>
                </w:tcPr>
                <w:p w14:paraId="03241500" w14:textId="77777777" w:rsidR="009E5696" w:rsidRDefault="00273474">
                  <w:pPr>
                    <w:pStyle w:val="FontBig"/>
                    <w:ind w:left="-20"/>
                    <w:jc w:val="right"/>
                  </w:pPr>
                  <w:r>
                    <w:t>98</w:t>
                  </w:r>
                </w:p>
              </w:tc>
            </w:tr>
            <w:tr w:rsidR="009E5696" w14:paraId="146300F9" w14:textId="77777777">
              <w:tc>
                <w:tcPr>
                  <w:tcW w:w="4250" w:type="pct"/>
                  <w:tcMar>
                    <w:top w:w="39" w:type="dxa"/>
                    <w:left w:w="0" w:type="dxa"/>
                    <w:bottom w:w="0" w:type="dxa"/>
                    <w:right w:w="0" w:type="dxa"/>
                  </w:tcMar>
                </w:tcPr>
                <w:p w14:paraId="178279BB" w14:textId="77777777" w:rsidR="009E5696" w:rsidRDefault="00273474">
                  <w:pPr>
                    <w:pStyle w:val="TOC-Alignment"/>
                    <w:tabs>
                      <w:tab w:val="left" w:leader="dot" w:pos="4196"/>
                    </w:tabs>
                    <w:ind w:left="-20"/>
                  </w:pPr>
                  <w:r>
                    <w:t xml:space="preserve">Where You Can Find More Information </w:t>
                  </w:r>
                  <w:r>
                    <w:tab/>
                    <w:t xml:space="preserve"> </w:t>
                  </w:r>
                </w:p>
              </w:tc>
              <w:tc>
                <w:tcPr>
                  <w:tcW w:w="750" w:type="pct"/>
                  <w:tcMar>
                    <w:top w:w="39" w:type="dxa"/>
                    <w:left w:w="0" w:type="dxa"/>
                    <w:bottom w:w="0" w:type="dxa"/>
                    <w:right w:w="0" w:type="dxa"/>
                  </w:tcMar>
                </w:tcPr>
                <w:p w14:paraId="0384B010" w14:textId="77777777" w:rsidR="009E5696" w:rsidRDefault="00273474">
                  <w:pPr>
                    <w:pStyle w:val="FontBig"/>
                    <w:ind w:left="-20"/>
                    <w:jc w:val="right"/>
                  </w:pPr>
                  <w:r>
                    <w:t>100</w:t>
                  </w:r>
                </w:p>
              </w:tc>
            </w:tr>
            <w:tr w:rsidR="009E5696" w14:paraId="4D45738A" w14:textId="77777777">
              <w:tc>
                <w:tcPr>
                  <w:tcW w:w="4250" w:type="pct"/>
                  <w:tcMar>
                    <w:top w:w="39" w:type="dxa"/>
                    <w:left w:w="0" w:type="dxa"/>
                    <w:bottom w:w="0" w:type="dxa"/>
                    <w:right w:w="0" w:type="dxa"/>
                  </w:tcMar>
                </w:tcPr>
                <w:p w14:paraId="35291BE9" w14:textId="77777777" w:rsidR="009E5696" w:rsidRDefault="00273474">
                  <w:pPr>
                    <w:pStyle w:val="TOC-Alignment"/>
                    <w:tabs>
                      <w:tab w:val="left" w:leader="dot" w:pos="4196"/>
                    </w:tabs>
                    <w:ind w:left="-20"/>
                  </w:pPr>
                  <w:r>
                    <w:t xml:space="preserve">Forward-Looking Statements </w:t>
                  </w:r>
                  <w:r>
                    <w:tab/>
                    <w:t xml:space="preserve"> </w:t>
                  </w:r>
                </w:p>
              </w:tc>
              <w:tc>
                <w:tcPr>
                  <w:tcW w:w="750" w:type="pct"/>
                  <w:tcMar>
                    <w:top w:w="39" w:type="dxa"/>
                    <w:left w:w="0" w:type="dxa"/>
                    <w:bottom w:w="0" w:type="dxa"/>
                    <w:right w:w="0" w:type="dxa"/>
                  </w:tcMar>
                </w:tcPr>
                <w:p w14:paraId="0520901E" w14:textId="77777777" w:rsidR="009E5696" w:rsidRDefault="00273474">
                  <w:pPr>
                    <w:pStyle w:val="FontBig"/>
                    <w:ind w:left="-20"/>
                    <w:jc w:val="right"/>
                  </w:pPr>
                  <w:r>
                    <w:t>102</w:t>
                  </w:r>
                </w:p>
              </w:tc>
            </w:tr>
            <w:tr w:rsidR="009E5696" w14:paraId="0E7DBF68" w14:textId="77777777">
              <w:tc>
                <w:tcPr>
                  <w:tcW w:w="4250" w:type="pct"/>
                  <w:tcMar>
                    <w:top w:w="39" w:type="dxa"/>
                    <w:left w:w="0" w:type="dxa"/>
                    <w:bottom w:w="0" w:type="dxa"/>
                    <w:right w:w="0" w:type="dxa"/>
                  </w:tcMar>
                </w:tcPr>
                <w:p w14:paraId="7C6E4826" w14:textId="77777777" w:rsidR="009E5696" w:rsidRDefault="00273474">
                  <w:pPr>
                    <w:pStyle w:val="TOC-Alignment"/>
                    <w:tabs>
                      <w:tab w:val="left" w:leader="dot" w:pos="4196"/>
                    </w:tabs>
                    <w:ind w:left="-20"/>
                  </w:pPr>
                  <w:r>
                    <w:t xml:space="preserve">Legal Matters </w:t>
                  </w:r>
                  <w:r>
                    <w:tab/>
                    <w:t xml:space="preserve"> </w:t>
                  </w:r>
                </w:p>
              </w:tc>
              <w:tc>
                <w:tcPr>
                  <w:tcW w:w="750" w:type="pct"/>
                  <w:tcMar>
                    <w:top w:w="39" w:type="dxa"/>
                    <w:left w:w="0" w:type="dxa"/>
                    <w:bottom w:w="0" w:type="dxa"/>
                    <w:right w:w="0" w:type="dxa"/>
                  </w:tcMar>
                </w:tcPr>
                <w:p w14:paraId="2DD2E3E6" w14:textId="77777777" w:rsidR="009E5696" w:rsidRDefault="00273474">
                  <w:pPr>
                    <w:pStyle w:val="FontBig"/>
                    <w:ind w:left="-20"/>
                    <w:jc w:val="right"/>
                  </w:pPr>
                  <w:r>
                    <w:t>103</w:t>
                  </w:r>
                </w:p>
              </w:tc>
            </w:tr>
            <w:tr w:rsidR="009E5696" w14:paraId="3EAA753E" w14:textId="77777777">
              <w:tc>
                <w:tcPr>
                  <w:tcW w:w="4250" w:type="pct"/>
                  <w:tcMar>
                    <w:top w:w="39" w:type="dxa"/>
                    <w:left w:w="0" w:type="dxa"/>
                    <w:bottom w:w="0" w:type="dxa"/>
                    <w:right w:w="0" w:type="dxa"/>
                  </w:tcMar>
                </w:tcPr>
                <w:p w14:paraId="0924ABE3" w14:textId="77777777" w:rsidR="009E5696" w:rsidRDefault="00273474">
                  <w:pPr>
                    <w:pStyle w:val="TOC-Alignment"/>
                    <w:tabs>
                      <w:tab w:val="left" w:leader="dot" w:pos="4196"/>
                    </w:tabs>
                    <w:ind w:left="-20"/>
                  </w:pPr>
                  <w:r>
                    <w:t xml:space="preserve">Experts </w:t>
                  </w:r>
                  <w:r>
                    <w:tab/>
                  </w:r>
                </w:p>
              </w:tc>
              <w:tc>
                <w:tcPr>
                  <w:tcW w:w="750" w:type="pct"/>
                  <w:tcMar>
                    <w:top w:w="39" w:type="dxa"/>
                    <w:left w:w="0" w:type="dxa"/>
                    <w:bottom w:w="0" w:type="dxa"/>
                    <w:right w:w="0" w:type="dxa"/>
                  </w:tcMar>
                </w:tcPr>
                <w:p w14:paraId="5EE2D24B" w14:textId="77777777" w:rsidR="009E5696" w:rsidRDefault="00273474">
                  <w:pPr>
                    <w:pStyle w:val="FontBig"/>
                    <w:ind w:left="-20"/>
                    <w:jc w:val="right"/>
                  </w:pPr>
                  <w:r>
                    <w:t>103</w:t>
                  </w:r>
                </w:p>
              </w:tc>
            </w:tr>
          </w:tbl>
          <w:p w14:paraId="2C6097E0" w14:textId="77777777" w:rsidR="009E5696" w:rsidRDefault="009E5696"/>
        </w:tc>
        <w:tc>
          <w:tcPr>
            <w:tcW w:w="454" w:type="dxa"/>
          </w:tcPr>
          <w:p w14:paraId="10AF49BD" w14:textId="77777777" w:rsidR="009E5696" w:rsidRDefault="009E5696">
            <w:pPr>
              <w:pStyle w:val="FontBig"/>
            </w:pPr>
          </w:p>
        </w:tc>
        <w:tc>
          <w:tcPr>
            <w:tcW w:w="4916" w:type="dxa"/>
          </w:tcPr>
          <w:p w14:paraId="2FAC9793" w14:textId="77777777" w:rsidR="009E5696" w:rsidRDefault="00273474">
            <w:pPr>
              <w:pStyle w:val="FontBig"/>
              <w:jc w:val="both"/>
            </w:pPr>
            <w:r>
              <w:t>We have not authorized anyone to provide any information or to make any representations other than those contained or incorporated by reference in this pricing supplement, the accompanying product supplement, the accompanying prospectus supplement or the accompanying prospectus. We take no responsibility for, and can provide no assurance as to the reliability of, any other information that others may give you. These documents are an offer to sell only the notes offered hereby, but only under circumstances and in jurisdictions where it is lawful to do so. The information contained in each such document is current only as of its respective date.</w:t>
            </w:r>
          </w:p>
          <w:p w14:paraId="0B3FB9EC" w14:textId="77777777" w:rsidR="009E5696" w:rsidRDefault="009E5696"/>
          <w:p w14:paraId="26CC4C35" w14:textId="77777777" w:rsidR="009E5696" w:rsidRDefault="009E5696"/>
          <w:p w14:paraId="06944CF2" w14:textId="77777777" w:rsidR="009E5696" w:rsidRDefault="009E5696"/>
          <w:p w14:paraId="0258A288" w14:textId="77777777" w:rsidR="009E5696" w:rsidRDefault="009E5696"/>
          <w:p w14:paraId="1D5FDAE1" w14:textId="77777777" w:rsidR="009E5696" w:rsidRDefault="00273474">
            <w:pPr>
              <w:pStyle w:val="SubHeading"/>
              <w:spacing w:line="240" w:lineRule="auto"/>
              <w:jc w:val="center"/>
            </w:pPr>
            <w:r>
              <w:t>$937,000</w:t>
            </w:r>
          </w:p>
          <w:p w14:paraId="015CA84F" w14:textId="77777777" w:rsidR="009E5696" w:rsidRDefault="009E5696">
            <w:pPr>
              <w:pStyle w:val="SubHeading"/>
              <w:jc w:val="center"/>
            </w:pPr>
          </w:p>
          <w:p w14:paraId="5AB19C84" w14:textId="77777777" w:rsidR="009E5696" w:rsidRDefault="00273474">
            <w:pPr>
              <w:jc w:val="center"/>
            </w:pPr>
            <w:r>
              <w:rPr>
                <w:b/>
                <w:bCs/>
              </w:rPr>
              <w:t>BofA Finance LLC</w:t>
            </w:r>
          </w:p>
          <w:p w14:paraId="6ACE482C" w14:textId="77777777" w:rsidR="009E5696" w:rsidRDefault="009E5696">
            <w:pPr>
              <w:pStyle w:val="SubHeading"/>
              <w:jc w:val="center"/>
            </w:pPr>
          </w:p>
          <w:p w14:paraId="06B3AB96" w14:textId="77777777" w:rsidR="009E5696" w:rsidRDefault="00273474">
            <w:pPr>
              <w:jc w:val="center"/>
            </w:pPr>
            <w:r>
              <w:t>Digital MSCI EAFE</w:t>
            </w:r>
            <w:r>
              <w:rPr>
                <w:vertAlign w:val="superscript"/>
              </w:rPr>
              <w:t>®</w:t>
            </w:r>
            <w:r>
              <w:t xml:space="preserve"> Index-Linked Notes due April 23, 2027</w:t>
            </w:r>
          </w:p>
          <w:p w14:paraId="35CA46AD" w14:textId="77777777" w:rsidR="009E5696" w:rsidRDefault="009E5696">
            <w:pPr>
              <w:pStyle w:val="SubHeading"/>
              <w:jc w:val="center"/>
            </w:pPr>
          </w:p>
          <w:p w14:paraId="2C0622A1" w14:textId="77777777" w:rsidR="009E5696" w:rsidRDefault="00273474">
            <w:pPr>
              <w:jc w:val="center"/>
            </w:pPr>
            <w:r>
              <w:rPr>
                <w:b/>
                <w:bCs/>
              </w:rPr>
              <w:t xml:space="preserve">Fully and Unconditionally Guaranteed by </w:t>
            </w:r>
            <w:r>
              <w:br/>
            </w:r>
            <w:r>
              <w:rPr>
                <w:b/>
                <w:bCs/>
              </w:rPr>
              <w:t>Bank of America Corporation</w:t>
            </w:r>
          </w:p>
          <w:p w14:paraId="026B54C8" w14:textId="77777777" w:rsidR="009E5696" w:rsidRDefault="009E5696"/>
          <w:p w14:paraId="6AA02B69" w14:textId="77777777" w:rsidR="009E5696" w:rsidRDefault="009E5696">
            <w:pPr>
              <w:jc w:val="center"/>
            </w:pPr>
          </w:p>
          <w:p w14:paraId="1DAE422D" w14:textId="77777777" w:rsidR="009E5696" w:rsidRDefault="009E5696"/>
          <w:p w14:paraId="412D7976" w14:textId="77777777" w:rsidR="009E5696" w:rsidRDefault="009E5696"/>
          <w:p w14:paraId="089977CA" w14:textId="77777777" w:rsidR="009E5696" w:rsidRDefault="009E5696"/>
          <w:p w14:paraId="029544A6" w14:textId="77777777" w:rsidR="009E5696" w:rsidRDefault="009E5696"/>
          <w:p w14:paraId="337733A0" w14:textId="77777777" w:rsidR="009E5696" w:rsidRDefault="00273474">
            <w:pPr>
              <w:pStyle w:val="Image"/>
              <w:jc w:val="center"/>
            </w:pPr>
            <w:r>
              <w:rPr>
                <w:noProof/>
              </w:rPr>
              <w:drawing>
                <wp:inline distT="0" distB="0" distL="0" distR="0" wp14:anchorId="3CE3D582" wp14:editId="0B82A0CA">
                  <wp:extent cx="2923200" cy="604800"/>
                  <wp:effectExtent l="0" t="0" r="0" b="508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3200" cy="604800"/>
                          </a:xfrm>
                          <a:prstGeom prst="rect">
                            <a:avLst/>
                          </a:prstGeom>
                          <a:noFill/>
                          <a:ln>
                            <a:noFill/>
                          </a:ln>
                        </pic:spPr>
                      </pic:pic>
                    </a:graphicData>
                  </a:graphic>
                </wp:inline>
              </w:drawing>
            </w:r>
          </w:p>
          <w:p w14:paraId="7F04581E" w14:textId="77777777" w:rsidR="009E5696" w:rsidRDefault="009E5696"/>
          <w:p w14:paraId="64B56351" w14:textId="77777777" w:rsidR="009E5696" w:rsidRDefault="00273474">
            <w:pPr>
              <w:jc w:val="center"/>
            </w:pPr>
            <w:r>
              <w:rPr>
                <w:b/>
                <w:bCs/>
              </w:rPr>
              <w:t>BofA Securities</w:t>
            </w:r>
          </w:p>
          <w:p w14:paraId="1DB01456" w14:textId="77777777" w:rsidR="009E5696" w:rsidRDefault="009E5696"/>
        </w:tc>
      </w:tr>
    </w:tbl>
    <w:p w14:paraId="7CC69377" w14:textId="77777777" w:rsidR="009E5696" w:rsidRDefault="009E5696">
      <w:pPr>
        <w:pStyle w:val="GSPara"/>
        <w:rPr>
          <w:rStyle w:val="GSBodyChar"/>
        </w:rPr>
      </w:pPr>
    </w:p>
    <w:sectPr w:rsidR="009E5696">
      <w:pgSz w:w="12240" w:h="15840" w:code="1"/>
      <w:pgMar w:top="1440" w:right="618" w:bottom="720" w:left="1582" w:header="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686D" w14:textId="77777777" w:rsidR="00EA4A6C" w:rsidRDefault="00EA4A6C" w:rsidP="00E97840">
      <w:r>
        <w:separator/>
      </w:r>
    </w:p>
  </w:endnote>
  <w:endnote w:type="continuationSeparator" w:id="0">
    <w:p w14:paraId="18B17FD6" w14:textId="77777777" w:rsidR="00EA4A6C" w:rsidRDefault="00EA4A6C" w:rsidP="00E97840">
      <w:r>
        <w:continuationSeparator/>
      </w:r>
    </w:p>
  </w:endnote>
  <w:endnote w:type="continuationNotice" w:id="1">
    <w:p w14:paraId="52AD305D" w14:textId="77777777" w:rsidR="00EA4A6C" w:rsidRDefault="00EA4A6C" w:rsidP="00E978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ZapfDingbat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C871" w14:textId="77777777" w:rsidR="00D01C91" w:rsidRDefault="00D01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BB0B" w14:textId="77777777" w:rsidR="00FF2956" w:rsidRDefault="00FF2956" w:rsidP="00FF2956">
    <w:pPr>
      <w:pStyle w:val="Footer"/>
      <w:jc w:val="center"/>
    </w:pPr>
    <w:r>
      <w:t>PS-</w:t>
    </w:r>
    <w:sdt>
      <w:sdtPr>
        <w:id w:val="212811990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sdtContent>
    </w:sdt>
  </w:p>
  <w:p w14:paraId="25EB5B22" w14:textId="77777777" w:rsidR="00BB7644" w:rsidRDefault="00BB7644" w:rsidP="00D1491D">
    <w:pPr>
      <w:pStyle w:val="Footer"/>
    </w:pPr>
  </w:p>
  <w:p w14:paraId="5113DB6D" w14:textId="77777777" w:rsidR="00BB7644" w:rsidRPr="00BB7644" w:rsidRDefault="00BB7644" w:rsidP="00E97840">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13BA" w14:textId="77777777" w:rsidR="002D2BB8" w:rsidRPr="00D01C91" w:rsidRDefault="002D2BB8" w:rsidP="00D01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343A0" w14:textId="77777777" w:rsidR="00EA4A6C" w:rsidRDefault="00EA4A6C" w:rsidP="00E97840">
      <w:r>
        <w:separator/>
      </w:r>
    </w:p>
  </w:footnote>
  <w:footnote w:type="continuationSeparator" w:id="0">
    <w:p w14:paraId="32C23153" w14:textId="77777777" w:rsidR="00EA4A6C" w:rsidRDefault="00EA4A6C" w:rsidP="00E97840">
      <w:r>
        <w:continuationSeparator/>
      </w:r>
    </w:p>
  </w:footnote>
  <w:footnote w:type="continuationNotice" w:id="1">
    <w:p w14:paraId="7B84C3F3" w14:textId="77777777" w:rsidR="00EA4A6C" w:rsidRDefault="00EA4A6C" w:rsidP="00E978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7019" w14:textId="77777777" w:rsidR="00D01C91" w:rsidRDefault="00D01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545D" w14:textId="77777777" w:rsidR="005D5708" w:rsidRDefault="005D5708">
    <w:pPr>
      <w:pStyle w:val="Header"/>
      <w:rPr>
        <w:lang w:val="en-GB"/>
      </w:rPr>
    </w:pPr>
  </w:p>
  <w:p w14:paraId="6F52228A" w14:textId="77777777" w:rsidR="005D5708" w:rsidRPr="005D5708" w:rsidRDefault="005D5708">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3075" w14:textId="77777777" w:rsidR="00D01C91" w:rsidRDefault="00D01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3"/>
    <w:multiLevelType w:val="multilevel"/>
    <w:tmpl w:val="00000001"/>
    <w:lvl w:ilvl="0">
      <w:start w:val="1"/>
      <w:numFmt w:val="bullet"/>
      <w:lvlText w:val=""/>
      <w:lvlJc w:val="left"/>
      <w:pPr>
        <w:tabs>
          <w:tab w:val="num" w:pos="0"/>
        </w:tabs>
        <w:ind w:left="360" w:hanging="360"/>
      </w:pPr>
      <w:rPr>
        <w:rFonts w:ascii="Symbol" w:eastAsia="Symbol" w:hAnsi="Symbol" w:cs="Symbol"/>
        <w:b w:val="0"/>
        <w:i w:val="0"/>
        <w:caps w:val="0"/>
        <w:smallCaps w:val="0"/>
        <w:strike w:val="0"/>
        <w:color w:val="000000"/>
        <w:sz w:val="20"/>
        <w:u w:val="none"/>
        <w:shd w:val="clear" w:color="auto" w:fill="auto"/>
        <w:vertAlign w:val="baseline"/>
      </w:rPr>
    </w:lvl>
    <w:lvl w:ilvl="1">
      <w:start w:val="1"/>
      <w:numFmt w:val="bullet"/>
      <w:lvlText w:val="o"/>
      <w:lvlJc w:val="left"/>
      <w:pPr>
        <w:tabs>
          <w:tab w:val="num" w:pos="0"/>
        </w:tabs>
        <w:ind w:left="1080" w:hanging="360"/>
      </w:pPr>
    </w:lvl>
    <w:lvl w:ilvl="2">
      <w:start w:val="1"/>
      <w:numFmt w:val="bullet"/>
      <w:lvlText w:val=""/>
      <w:lvlJc w:val="left"/>
      <w:pPr>
        <w:tabs>
          <w:tab w:val="num" w:pos="0"/>
        </w:tabs>
        <w:ind w:left="1800" w:hanging="360"/>
      </w:pPr>
    </w:lvl>
    <w:lvl w:ilvl="3">
      <w:start w:val="1"/>
      <w:numFmt w:val="bullet"/>
      <w:lvlText w:val=""/>
      <w:lvlJc w:val="left"/>
      <w:pPr>
        <w:tabs>
          <w:tab w:val="num" w:pos="0"/>
        </w:tabs>
        <w:ind w:left="2520" w:hanging="360"/>
      </w:pPr>
    </w:lvl>
    <w:lvl w:ilvl="4">
      <w:start w:val="1"/>
      <w:numFmt w:val="bullet"/>
      <w:lvlText w:val="o"/>
      <w:lvlJc w:val="left"/>
      <w:pPr>
        <w:tabs>
          <w:tab w:val="num" w:pos="0"/>
        </w:tabs>
        <w:ind w:left="3240" w:hanging="360"/>
      </w:pPr>
    </w:lvl>
    <w:lvl w:ilvl="5">
      <w:start w:val="1"/>
      <w:numFmt w:val="bullet"/>
      <w:lvlText w:val=""/>
      <w:lvlJc w:val="left"/>
      <w:pPr>
        <w:tabs>
          <w:tab w:val="num" w:pos="0"/>
        </w:tabs>
        <w:ind w:left="3960" w:hanging="360"/>
      </w:pPr>
    </w:lvl>
    <w:lvl w:ilvl="6">
      <w:start w:val="1"/>
      <w:numFmt w:val="bullet"/>
      <w:lvlText w:val=""/>
      <w:lvlJc w:val="left"/>
      <w:pPr>
        <w:tabs>
          <w:tab w:val="num" w:pos="0"/>
        </w:tabs>
        <w:ind w:left="4680" w:hanging="360"/>
      </w:pPr>
    </w:lvl>
    <w:lvl w:ilvl="7">
      <w:start w:val="1"/>
      <w:numFmt w:val="bullet"/>
      <w:lvlText w:val="o"/>
      <w:lvlJc w:val="left"/>
      <w:pPr>
        <w:tabs>
          <w:tab w:val="num" w:pos="0"/>
        </w:tabs>
        <w:ind w:left="5400" w:hanging="360"/>
      </w:pPr>
    </w:lvl>
    <w:lvl w:ilvl="8">
      <w:start w:val="1"/>
      <w:numFmt w:val="bullet"/>
      <w:lvlText w:val=""/>
      <w:lvlJc w:val="left"/>
      <w:pPr>
        <w:tabs>
          <w:tab w:val="num" w:pos="0"/>
        </w:tabs>
        <w:ind w:left="6120" w:hanging="360"/>
      </w:pPr>
    </w:lvl>
  </w:abstractNum>
  <w:abstractNum w:abstractNumId="1" w15:restartNumberingAfterBreak="0">
    <w:nsid w:val="00000036"/>
    <w:multiLevelType w:val="multilevel"/>
    <w:tmpl w:val="4322CB90"/>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righ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pStyle w:val="Numeral1"/>
      <w:lvlText w:val="(%6)"/>
      <w:lvlJc w:val="right"/>
      <w:pPr>
        <w:tabs>
          <w:tab w:val="num" w:pos="0"/>
        </w:tabs>
        <w:ind w:left="2160" w:hanging="360"/>
      </w:pPr>
      <w:rPr>
        <w:rFonts w:ascii="Arial" w:eastAsia="Arial" w:hAnsi="Arial" w:cs="Arial"/>
        <w:b w:val="0"/>
        <w:i w:val="0"/>
        <w:caps w:val="0"/>
        <w:smallCaps w:val="0"/>
        <w:strike w:val="0"/>
        <w:color w:val="000000"/>
        <w:sz w:val="20"/>
        <w:u w:val="none"/>
        <w:shd w:val="clear" w:color="auto" w:fill="auto"/>
        <w:vertAlign w:val="baseline"/>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right"/>
      <w:pPr>
        <w:tabs>
          <w:tab w:val="num" w:pos="0"/>
        </w:tabs>
        <w:ind w:left="3240" w:hanging="360"/>
      </w:pPr>
    </w:lvl>
  </w:abstractNum>
  <w:abstractNum w:abstractNumId="2" w15:restartNumberingAfterBreak="0">
    <w:nsid w:val="00000039"/>
    <w:multiLevelType w:val="multilevel"/>
    <w:tmpl w:val="5C383CBA"/>
    <w:lvl w:ilvl="0">
      <w:start w:val="1"/>
      <w:numFmt w:val="lowerRoman"/>
      <w:pStyle w:val="Numeral2"/>
      <w:lvlText w:val="(%1)"/>
      <w:lvlJc w:val="right"/>
      <w:pPr>
        <w:tabs>
          <w:tab w:val="num" w:pos="0"/>
        </w:tabs>
        <w:ind w:left="360" w:hanging="360"/>
      </w:pPr>
      <w:rPr>
        <w:rFonts w:ascii="Arial" w:eastAsia="Arial" w:hAnsi="Arial" w:cs="Arial"/>
        <w:b w:val="0"/>
        <w:i w:val="0"/>
        <w:caps w:val="0"/>
        <w:smallCaps w:val="0"/>
        <w:strike w:val="0"/>
        <w:color w:val="000000"/>
        <w:sz w:val="20"/>
        <w:u w:val="none"/>
        <w:shd w:val="clear" w:color="auto" w:fill="auto"/>
        <w:vertAlign w:val="baseline"/>
      </w:rPr>
    </w:lvl>
    <w:lvl w:ilvl="1">
      <w:start w:val="1"/>
      <w:numFmt w:val="lowerLetter"/>
      <w:lvlText w:val="%2)"/>
      <w:lvlJc w:val="left"/>
      <w:pPr>
        <w:tabs>
          <w:tab w:val="num" w:pos="0"/>
        </w:tabs>
        <w:ind w:left="720" w:hanging="360"/>
      </w:pPr>
    </w:lvl>
    <w:lvl w:ilvl="2">
      <w:start w:val="1"/>
      <w:numFmt w:val="lowerRoman"/>
      <w:lvlText w:val="%3)"/>
      <w:lvlJc w:val="righ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righ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right"/>
      <w:pPr>
        <w:tabs>
          <w:tab w:val="num" w:pos="0"/>
        </w:tabs>
        <w:ind w:left="3240" w:hanging="360"/>
      </w:pPr>
    </w:lvl>
  </w:abstractNum>
  <w:abstractNum w:abstractNumId="3" w15:restartNumberingAfterBreak="0">
    <w:nsid w:val="0000003C"/>
    <w:multiLevelType w:val="multilevel"/>
    <w:tmpl w:val="0000003B"/>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rPr>
        <w:rFonts w:ascii="Arial" w:eastAsia="Arial" w:hAnsi="Arial" w:cs="Arial"/>
        <w:b w:val="0"/>
        <w:i w:val="0"/>
        <w:caps w:val="0"/>
        <w:smallCaps w:val="0"/>
        <w:strike w:val="0"/>
        <w:color w:val="000000"/>
        <w:sz w:val="20"/>
        <w:u w:val="none"/>
        <w:shd w:val="clear" w:color="auto" w:fill="auto"/>
        <w:vertAlign w:val="baseline"/>
      </w:rPr>
    </w:lvl>
    <w:lvl w:ilvl="2">
      <w:start w:val="1"/>
      <w:numFmt w:val="lowerRoman"/>
      <w:lvlText w:val="%3)"/>
      <w:lvlJc w:val="righ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righ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right"/>
      <w:pPr>
        <w:tabs>
          <w:tab w:val="num" w:pos="0"/>
        </w:tabs>
        <w:ind w:left="3240" w:hanging="360"/>
      </w:pPr>
    </w:lvl>
  </w:abstractNum>
  <w:abstractNum w:abstractNumId="4" w15:restartNumberingAfterBreak="0">
    <w:nsid w:val="0000003F"/>
    <w:multiLevelType w:val="multilevel"/>
    <w:tmpl w:val="0000003E"/>
    <w:lvl w:ilvl="0">
      <w:start w:val="2"/>
      <w:numFmt w:val="lowerLetter"/>
      <w:lvlText w:val="(%1)"/>
      <w:lvlJc w:val="left"/>
      <w:pPr>
        <w:tabs>
          <w:tab w:val="num" w:pos="0"/>
        </w:tabs>
        <w:ind w:left="360" w:hanging="360"/>
      </w:pPr>
      <w:rPr>
        <w:rFonts w:ascii="Arial" w:eastAsia="Arial" w:hAnsi="Arial" w:cs="Arial"/>
        <w:b w:val="0"/>
        <w:i w:val="0"/>
        <w:caps w:val="0"/>
        <w:smallCaps w:val="0"/>
        <w:strike w:val="0"/>
        <w:color w:val="000000"/>
        <w:sz w:val="20"/>
        <w:u w:val="none"/>
        <w:shd w:val="clear" w:color="auto" w:fill="auto"/>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73"/>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73"/>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73"/>
      </w:pPr>
    </w:lvl>
  </w:abstractNum>
  <w:abstractNum w:abstractNumId="5" w15:restartNumberingAfterBreak="0">
    <w:nsid w:val="00000042"/>
    <w:multiLevelType w:val="multilevel"/>
    <w:tmpl w:val="00000041"/>
    <w:lvl w:ilvl="0">
      <w:start w:val="1"/>
      <w:numFmt w:val="decimal"/>
      <w:lvlText w:val="(%1)"/>
      <w:lvlJc w:val="left"/>
      <w:pPr>
        <w:tabs>
          <w:tab w:val="num" w:pos="0"/>
        </w:tabs>
        <w:ind w:left="1454" w:hanging="360"/>
      </w:pPr>
    </w:lvl>
    <w:lvl w:ilvl="1">
      <w:start w:val="1"/>
      <w:numFmt w:val="lowerLetter"/>
      <w:lvlText w:val="%2."/>
      <w:lvlJc w:val="left"/>
      <w:pPr>
        <w:tabs>
          <w:tab w:val="num" w:pos="0"/>
        </w:tabs>
        <w:ind w:left="2174" w:hanging="360"/>
      </w:pPr>
    </w:lvl>
    <w:lvl w:ilvl="2">
      <w:start w:val="1"/>
      <w:numFmt w:val="lowerRoman"/>
      <w:lvlText w:val="%3."/>
      <w:lvlJc w:val="right"/>
      <w:pPr>
        <w:tabs>
          <w:tab w:val="num" w:pos="0"/>
        </w:tabs>
        <w:ind w:left="2894" w:hanging="172"/>
      </w:pPr>
    </w:lvl>
    <w:lvl w:ilvl="3">
      <w:start w:val="1"/>
      <w:numFmt w:val="decimal"/>
      <w:lvlText w:val="(%4)"/>
      <w:lvlJc w:val="left"/>
      <w:pPr>
        <w:tabs>
          <w:tab w:val="num" w:pos="0"/>
        </w:tabs>
        <w:ind w:left="3614" w:hanging="360"/>
      </w:pPr>
      <w:rPr>
        <w:rFonts w:ascii="Arial" w:eastAsia="Arial" w:hAnsi="Arial" w:cs="Arial"/>
        <w:b w:val="0"/>
        <w:i w:val="0"/>
        <w:caps w:val="0"/>
        <w:smallCaps w:val="0"/>
        <w:strike w:val="0"/>
        <w:color w:val="000000"/>
        <w:sz w:val="20"/>
        <w:u w:val="none"/>
        <w:shd w:val="clear" w:color="auto" w:fill="auto"/>
        <w:vertAlign w:val="baseline"/>
      </w:rPr>
    </w:lvl>
    <w:lvl w:ilvl="4">
      <w:start w:val="1"/>
      <w:numFmt w:val="lowerLetter"/>
      <w:lvlText w:val="%5."/>
      <w:lvlJc w:val="left"/>
      <w:pPr>
        <w:tabs>
          <w:tab w:val="num" w:pos="0"/>
        </w:tabs>
        <w:ind w:left="4334" w:hanging="360"/>
      </w:pPr>
    </w:lvl>
    <w:lvl w:ilvl="5">
      <w:start w:val="1"/>
      <w:numFmt w:val="lowerRoman"/>
      <w:lvlText w:val="%6."/>
      <w:lvlJc w:val="right"/>
      <w:pPr>
        <w:tabs>
          <w:tab w:val="num" w:pos="0"/>
        </w:tabs>
        <w:ind w:left="5054" w:hanging="172"/>
      </w:pPr>
    </w:lvl>
    <w:lvl w:ilvl="6">
      <w:start w:val="1"/>
      <w:numFmt w:val="decimal"/>
      <w:lvlText w:val="%7."/>
      <w:lvlJc w:val="left"/>
      <w:pPr>
        <w:tabs>
          <w:tab w:val="num" w:pos="0"/>
        </w:tabs>
        <w:ind w:left="5774" w:hanging="360"/>
      </w:pPr>
    </w:lvl>
    <w:lvl w:ilvl="7">
      <w:start w:val="1"/>
      <w:numFmt w:val="lowerLetter"/>
      <w:lvlText w:val="%8."/>
      <w:lvlJc w:val="left"/>
      <w:pPr>
        <w:tabs>
          <w:tab w:val="num" w:pos="0"/>
        </w:tabs>
        <w:ind w:left="6494" w:hanging="360"/>
      </w:pPr>
    </w:lvl>
    <w:lvl w:ilvl="8">
      <w:start w:val="1"/>
      <w:numFmt w:val="lowerRoman"/>
      <w:lvlText w:val="%9."/>
      <w:lvlJc w:val="right"/>
      <w:pPr>
        <w:tabs>
          <w:tab w:val="num" w:pos="0"/>
        </w:tabs>
        <w:ind w:left="7214" w:hanging="172"/>
      </w:pPr>
    </w:lvl>
  </w:abstractNum>
  <w:abstractNum w:abstractNumId="6" w15:restartNumberingAfterBreak="0">
    <w:nsid w:val="00000045"/>
    <w:multiLevelType w:val="multilevel"/>
    <w:tmpl w:val="00000044"/>
    <w:lvl w:ilvl="0">
      <w:start w:val="4"/>
      <w:numFmt w:val="lowerLetter"/>
      <w:lvlText w:val="(%1)"/>
      <w:lvlJc w:val="left"/>
      <w:pPr>
        <w:tabs>
          <w:tab w:val="num" w:pos="0"/>
        </w:tabs>
        <w:ind w:left="979" w:hanging="489"/>
      </w:pPr>
      <w:rPr>
        <w:rFonts w:ascii="Arial" w:eastAsia="Arial" w:hAnsi="Arial" w:cs="Arial"/>
        <w:b w:val="0"/>
        <w:i w:val="0"/>
        <w:caps w:val="0"/>
        <w:smallCaps w:val="0"/>
        <w:strike w:val="0"/>
        <w:color w:val="000000"/>
        <w:sz w:val="20"/>
        <w:u w:val="none"/>
        <w:shd w:val="clear" w:color="auto" w:fill="auto"/>
        <w:vertAlign w:val="baseline"/>
      </w:rPr>
    </w:lvl>
    <w:lvl w:ilvl="1">
      <w:start w:val="1"/>
      <w:numFmt w:val="lowerLetter"/>
      <w:lvlText w:val="%2."/>
      <w:lvlJc w:val="left"/>
      <w:pPr>
        <w:tabs>
          <w:tab w:val="num" w:pos="0"/>
        </w:tabs>
        <w:ind w:left="1469" w:hanging="490"/>
      </w:pPr>
    </w:lvl>
    <w:lvl w:ilvl="2">
      <w:start w:val="1"/>
      <w:numFmt w:val="lowerRoman"/>
      <w:lvlText w:val="%3."/>
      <w:lvlJc w:val="right"/>
      <w:pPr>
        <w:tabs>
          <w:tab w:val="num" w:pos="0"/>
        </w:tabs>
        <w:ind w:left="1958" w:hanging="489"/>
      </w:pPr>
    </w:lvl>
    <w:lvl w:ilvl="3">
      <w:start w:val="1"/>
      <w:numFmt w:val="decimal"/>
      <w:lvlText w:val="%4."/>
      <w:lvlJc w:val="left"/>
      <w:pPr>
        <w:tabs>
          <w:tab w:val="num" w:pos="0"/>
        </w:tabs>
        <w:ind w:left="2448" w:hanging="490"/>
      </w:pPr>
    </w:lvl>
    <w:lvl w:ilvl="4">
      <w:start w:val="1"/>
      <w:numFmt w:val="lowerLetter"/>
      <w:lvlText w:val="%5."/>
      <w:lvlJc w:val="left"/>
      <w:pPr>
        <w:tabs>
          <w:tab w:val="num" w:pos="0"/>
        </w:tabs>
        <w:ind w:left="2938" w:hanging="490"/>
      </w:pPr>
    </w:lvl>
    <w:lvl w:ilvl="5">
      <w:start w:val="1"/>
      <w:numFmt w:val="lowerRoman"/>
      <w:lvlText w:val="%6."/>
      <w:lvlJc w:val="right"/>
      <w:pPr>
        <w:tabs>
          <w:tab w:val="num" w:pos="0"/>
        </w:tabs>
        <w:ind w:left="3427" w:hanging="489"/>
      </w:pPr>
    </w:lvl>
    <w:lvl w:ilvl="6">
      <w:start w:val="1"/>
      <w:numFmt w:val="decimal"/>
      <w:lvlText w:val="%7."/>
      <w:lvlJc w:val="left"/>
      <w:pPr>
        <w:tabs>
          <w:tab w:val="num" w:pos="0"/>
        </w:tabs>
        <w:ind w:left="3917" w:hanging="490"/>
      </w:pPr>
    </w:lvl>
    <w:lvl w:ilvl="7">
      <w:start w:val="1"/>
      <w:numFmt w:val="lowerLetter"/>
      <w:lvlText w:val="%8."/>
      <w:lvlJc w:val="left"/>
      <w:pPr>
        <w:tabs>
          <w:tab w:val="num" w:pos="0"/>
        </w:tabs>
        <w:ind w:left="4406" w:hanging="489"/>
      </w:pPr>
    </w:lvl>
    <w:lvl w:ilvl="8">
      <w:start w:val="1"/>
      <w:numFmt w:val="lowerRoman"/>
      <w:lvlText w:val="%9."/>
      <w:lvlJc w:val="right"/>
      <w:pPr>
        <w:tabs>
          <w:tab w:val="num" w:pos="0"/>
        </w:tabs>
        <w:ind w:left="4896" w:hanging="490"/>
      </w:pPr>
    </w:lvl>
  </w:abstractNum>
  <w:abstractNum w:abstractNumId="7" w15:restartNumberingAfterBreak="0">
    <w:nsid w:val="00000048"/>
    <w:multiLevelType w:val="multilevel"/>
    <w:tmpl w:val="B88A1B78"/>
    <w:lvl w:ilvl="0">
      <w:start w:val="1"/>
      <w:numFmt w:val="bullet"/>
      <w:pStyle w:val="Bullet2"/>
      <w:lvlText w:val=""/>
      <w:lvlJc w:val="left"/>
      <w:pPr>
        <w:tabs>
          <w:tab w:val="num" w:pos="0"/>
        </w:tabs>
        <w:ind w:left="979" w:hanging="489"/>
      </w:pPr>
      <w:rPr>
        <w:rFonts w:ascii="Symbol" w:eastAsia="Symbol" w:hAnsi="Symbol" w:cs="Symbol"/>
        <w:b w:val="0"/>
        <w:i w:val="0"/>
        <w:caps w:val="0"/>
        <w:smallCaps w:val="0"/>
        <w:strike w:val="0"/>
        <w:color w:val="000000"/>
        <w:sz w:val="20"/>
        <w:u w:val="none"/>
        <w:shd w:val="clear" w:color="auto" w:fill="auto"/>
        <w:vertAlign w:val="baseline"/>
      </w:rPr>
    </w:lvl>
    <w:lvl w:ilvl="1">
      <w:start w:val="1"/>
      <w:numFmt w:val="bullet"/>
      <w:lvlText w:val=""/>
      <w:lvlJc w:val="left"/>
      <w:pPr>
        <w:tabs>
          <w:tab w:val="num" w:pos="0"/>
        </w:tabs>
        <w:ind w:left="1469" w:hanging="490"/>
      </w:pPr>
    </w:lvl>
    <w:lvl w:ilvl="2">
      <w:start w:val="1"/>
      <w:numFmt w:val="bullet"/>
      <w:lvlText w:val=""/>
      <w:lvlJc w:val="left"/>
      <w:pPr>
        <w:tabs>
          <w:tab w:val="num" w:pos="0"/>
        </w:tabs>
        <w:ind w:left="1958" w:hanging="489"/>
      </w:pPr>
    </w:lvl>
    <w:lvl w:ilvl="3">
      <w:start w:val="1"/>
      <w:numFmt w:val="bullet"/>
      <w:lvlText w:val=""/>
      <w:lvlJc w:val="left"/>
      <w:pPr>
        <w:tabs>
          <w:tab w:val="num" w:pos="0"/>
        </w:tabs>
        <w:ind w:left="2448" w:hanging="490"/>
      </w:pPr>
    </w:lvl>
    <w:lvl w:ilvl="4">
      <w:start w:val="1"/>
      <w:numFmt w:val="bullet"/>
      <w:lvlText w:val=""/>
      <w:lvlJc w:val="left"/>
      <w:pPr>
        <w:tabs>
          <w:tab w:val="num" w:pos="0"/>
        </w:tabs>
        <w:ind w:left="2938" w:hanging="490"/>
      </w:pPr>
    </w:lvl>
    <w:lvl w:ilvl="5">
      <w:start w:val="1"/>
      <w:numFmt w:val="bullet"/>
      <w:lvlText w:val=""/>
      <w:lvlJc w:val="left"/>
      <w:pPr>
        <w:tabs>
          <w:tab w:val="num" w:pos="0"/>
        </w:tabs>
        <w:ind w:left="3427" w:hanging="489"/>
      </w:pPr>
    </w:lvl>
    <w:lvl w:ilvl="6">
      <w:start w:val="1"/>
      <w:numFmt w:val="bullet"/>
      <w:lvlText w:val=""/>
      <w:lvlJc w:val="left"/>
      <w:pPr>
        <w:tabs>
          <w:tab w:val="num" w:pos="0"/>
        </w:tabs>
        <w:ind w:left="3917" w:hanging="490"/>
      </w:pPr>
    </w:lvl>
    <w:lvl w:ilvl="7">
      <w:start w:val="1"/>
      <w:numFmt w:val="bullet"/>
      <w:lvlText w:val=""/>
      <w:lvlJc w:val="left"/>
      <w:pPr>
        <w:tabs>
          <w:tab w:val="num" w:pos="0"/>
        </w:tabs>
        <w:ind w:left="4406" w:hanging="489"/>
      </w:pPr>
    </w:lvl>
    <w:lvl w:ilvl="8">
      <w:start w:val="1"/>
      <w:numFmt w:val="bullet"/>
      <w:lvlText w:val=""/>
      <w:lvlJc w:val="left"/>
      <w:pPr>
        <w:tabs>
          <w:tab w:val="num" w:pos="0"/>
        </w:tabs>
        <w:ind w:left="4896" w:hanging="490"/>
      </w:pPr>
    </w:lvl>
  </w:abstractNum>
  <w:abstractNum w:abstractNumId="8" w15:restartNumberingAfterBreak="0">
    <w:nsid w:val="0000004A"/>
    <w:multiLevelType w:val="multilevel"/>
    <w:tmpl w:val="00000047"/>
    <w:lvl w:ilvl="0">
      <w:start w:val="1"/>
      <w:numFmt w:val="bullet"/>
      <w:lvlText w:val=""/>
      <w:lvlJc w:val="left"/>
      <w:pPr>
        <w:tabs>
          <w:tab w:val="num" w:pos="0"/>
        </w:tabs>
        <w:ind w:left="979" w:hanging="489"/>
      </w:pPr>
      <w:rPr>
        <w:rFonts w:ascii="Symbol" w:eastAsia="Symbol" w:hAnsi="Symbol" w:cs="Symbol"/>
        <w:b w:val="0"/>
        <w:i w:val="0"/>
        <w:caps w:val="0"/>
        <w:smallCaps w:val="0"/>
        <w:strike w:val="0"/>
        <w:color w:val="000000"/>
        <w:sz w:val="20"/>
        <w:u w:val="none"/>
        <w:shd w:val="clear" w:color="auto" w:fill="auto"/>
        <w:vertAlign w:val="baseline"/>
      </w:rPr>
    </w:lvl>
    <w:lvl w:ilvl="1">
      <w:start w:val="1"/>
      <w:numFmt w:val="bullet"/>
      <w:lvlText w:val=""/>
      <w:lvlJc w:val="left"/>
      <w:pPr>
        <w:tabs>
          <w:tab w:val="num" w:pos="0"/>
        </w:tabs>
        <w:ind w:left="1469" w:hanging="490"/>
      </w:pPr>
    </w:lvl>
    <w:lvl w:ilvl="2">
      <w:start w:val="1"/>
      <w:numFmt w:val="bullet"/>
      <w:lvlText w:val=""/>
      <w:lvlJc w:val="left"/>
      <w:pPr>
        <w:tabs>
          <w:tab w:val="num" w:pos="0"/>
        </w:tabs>
        <w:ind w:left="1958" w:hanging="489"/>
      </w:pPr>
    </w:lvl>
    <w:lvl w:ilvl="3">
      <w:start w:val="1"/>
      <w:numFmt w:val="bullet"/>
      <w:lvlText w:val=""/>
      <w:lvlJc w:val="left"/>
      <w:pPr>
        <w:tabs>
          <w:tab w:val="num" w:pos="0"/>
        </w:tabs>
        <w:ind w:left="2448" w:hanging="490"/>
      </w:pPr>
    </w:lvl>
    <w:lvl w:ilvl="4">
      <w:start w:val="1"/>
      <w:numFmt w:val="bullet"/>
      <w:lvlText w:val=""/>
      <w:lvlJc w:val="left"/>
      <w:pPr>
        <w:tabs>
          <w:tab w:val="num" w:pos="0"/>
        </w:tabs>
        <w:ind w:left="2938" w:hanging="490"/>
      </w:pPr>
    </w:lvl>
    <w:lvl w:ilvl="5">
      <w:start w:val="1"/>
      <w:numFmt w:val="bullet"/>
      <w:lvlText w:val=""/>
      <w:lvlJc w:val="left"/>
      <w:pPr>
        <w:tabs>
          <w:tab w:val="num" w:pos="0"/>
        </w:tabs>
        <w:ind w:left="3427" w:hanging="489"/>
      </w:pPr>
    </w:lvl>
    <w:lvl w:ilvl="6">
      <w:start w:val="1"/>
      <w:numFmt w:val="bullet"/>
      <w:lvlText w:val=""/>
      <w:lvlJc w:val="left"/>
      <w:pPr>
        <w:tabs>
          <w:tab w:val="num" w:pos="0"/>
        </w:tabs>
        <w:ind w:left="3917" w:hanging="490"/>
      </w:pPr>
    </w:lvl>
    <w:lvl w:ilvl="7">
      <w:start w:val="1"/>
      <w:numFmt w:val="bullet"/>
      <w:lvlText w:val=""/>
      <w:lvlJc w:val="left"/>
      <w:pPr>
        <w:tabs>
          <w:tab w:val="num" w:pos="0"/>
        </w:tabs>
        <w:ind w:left="4406" w:hanging="489"/>
      </w:pPr>
    </w:lvl>
    <w:lvl w:ilvl="8">
      <w:start w:val="1"/>
      <w:numFmt w:val="bullet"/>
      <w:lvlText w:val=""/>
      <w:lvlJc w:val="left"/>
      <w:pPr>
        <w:tabs>
          <w:tab w:val="num" w:pos="0"/>
        </w:tabs>
        <w:ind w:left="4896" w:hanging="490"/>
      </w:pPr>
    </w:lvl>
  </w:abstractNum>
  <w:abstractNum w:abstractNumId="9" w15:restartNumberingAfterBreak="0">
    <w:nsid w:val="0180480C"/>
    <w:multiLevelType w:val="hybridMultilevel"/>
    <w:tmpl w:val="00000000"/>
    <w:lvl w:ilvl="0" w:tplc="4CF0FA6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FD729F18">
      <w:start w:val="1"/>
      <w:numFmt w:val="decimal"/>
      <w:lvlText w:val=""/>
      <w:lvlJc w:val="left"/>
    </w:lvl>
    <w:lvl w:ilvl="2" w:tplc="FBBCEDA2">
      <w:start w:val="1"/>
      <w:numFmt w:val="decimal"/>
      <w:lvlText w:val=""/>
      <w:lvlJc w:val="left"/>
    </w:lvl>
    <w:lvl w:ilvl="3" w:tplc="19DC7674">
      <w:start w:val="1"/>
      <w:numFmt w:val="decimal"/>
      <w:lvlText w:val=""/>
      <w:lvlJc w:val="left"/>
    </w:lvl>
    <w:lvl w:ilvl="4" w:tplc="AFDE87AC">
      <w:start w:val="1"/>
      <w:numFmt w:val="decimal"/>
      <w:lvlText w:val=""/>
      <w:lvlJc w:val="left"/>
    </w:lvl>
    <w:lvl w:ilvl="5" w:tplc="586A69B8">
      <w:start w:val="1"/>
      <w:numFmt w:val="decimal"/>
      <w:lvlText w:val=""/>
      <w:lvlJc w:val="left"/>
    </w:lvl>
    <w:lvl w:ilvl="6" w:tplc="546ACB08">
      <w:start w:val="1"/>
      <w:numFmt w:val="decimal"/>
      <w:lvlText w:val=""/>
      <w:lvlJc w:val="left"/>
    </w:lvl>
    <w:lvl w:ilvl="7" w:tplc="77B6ED5A">
      <w:start w:val="1"/>
      <w:numFmt w:val="decimal"/>
      <w:lvlText w:val=""/>
      <w:lvlJc w:val="left"/>
    </w:lvl>
    <w:lvl w:ilvl="8" w:tplc="253CD902">
      <w:start w:val="1"/>
      <w:numFmt w:val="decimal"/>
      <w:lvlText w:val=""/>
      <w:lvlJc w:val="left"/>
    </w:lvl>
  </w:abstractNum>
  <w:abstractNum w:abstractNumId="10" w15:restartNumberingAfterBreak="0">
    <w:nsid w:val="0ABC7766"/>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C1B152B"/>
    <w:multiLevelType w:val="hybridMultilevel"/>
    <w:tmpl w:val="9E36ECC2"/>
    <w:lvl w:ilvl="0" w:tplc="2048B75A">
      <w:start w:val="1"/>
      <w:numFmt w:val="upperLetter"/>
      <w:pStyle w:val="BofaLetterBullet"/>
      <w:lvlText w:val="(%1)"/>
      <w:lvlJc w:val="left"/>
      <w:pPr>
        <w:ind w:left="60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FFFDA5"/>
    <w:multiLevelType w:val="hybridMultilevel"/>
    <w:tmpl w:val="00000000"/>
    <w:lvl w:ilvl="0" w:tplc="9C60B40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FE466BD4">
      <w:start w:val="1"/>
      <w:numFmt w:val="decimal"/>
      <w:lvlText w:val=""/>
      <w:lvlJc w:val="left"/>
    </w:lvl>
    <w:lvl w:ilvl="2" w:tplc="368A934E">
      <w:start w:val="1"/>
      <w:numFmt w:val="decimal"/>
      <w:lvlText w:val=""/>
      <w:lvlJc w:val="left"/>
    </w:lvl>
    <w:lvl w:ilvl="3" w:tplc="A9D02F00">
      <w:start w:val="1"/>
      <w:numFmt w:val="decimal"/>
      <w:lvlText w:val=""/>
      <w:lvlJc w:val="left"/>
    </w:lvl>
    <w:lvl w:ilvl="4" w:tplc="63BA6A5E">
      <w:start w:val="1"/>
      <w:numFmt w:val="decimal"/>
      <w:lvlText w:val=""/>
      <w:lvlJc w:val="left"/>
    </w:lvl>
    <w:lvl w:ilvl="5" w:tplc="32FA2C16">
      <w:start w:val="1"/>
      <w:numFmt w:val="decimal"/>
      <w:lvlText w:val=""/>
      <w:lvlJc w:val="left"/>
    </w:lvl>
    <w:lvl w:ilvl="6" w:tplc="8CA0392E">
      <w:start w:val="1"/>
      <w:numFmt w:val="decimal"/>
      <w:lvlText w:val=""/>
      <w:lvlJc w:val="left"/>
    </w:lvl>
    <w:lvl w:ilvl="7" w:tplc="0960E306">
      <w:start w:val="1"/>
      <w:numFmt w:val="decimal"/>
      <w:lvlText w:val=""/>
      <w:lvlJc w:val="left"/>
    </w:lvl>
    <w:lvl w:ilvl="8" w:tplc="0F3CDD16">
      <w:start w:val="1"/>
      <w:numFmt w:val="decimal"/>
      <w:lvlText w:val=""/>
      <w:lvlJc w:val="left"/>
    </w:lvl>
  </w:abstractNum>
  <w:abstractNum w:abstractNumId="13" w15:restartNumberingAfterBreak="0">
    <w:nsid w:val="123FC36D"/>
    <w:multiLevelType w:val="hybridMultilevel"/>
    <w:tmpl w:val="00000000"/>
    <w:lvl w:ilvl="0" w:tplc="59E6402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1480D3C">
      <w:start w:val="1"/>
      <w:numFmt w:val="decimal"/>
      <w:lvlText w:val=""/>
      <w:lvlJc w:val="left"/>
    </w:lvl>
    <w:lvl w:ilvl="2" w:tplc="21D084C6">
      <w:start w:val="1"/>
      <w:numFmt w:val="decimal"/>
      <w:lvlText w:val=""/>
      <w:lvlJc w:val="left"/>
    </w:lvl>
    <w:lvl w:ilvl="3" w:tplc="465CA1C0">
      <w:start w:val="1"/>
      <w:numFmt w:val="decimal"/>
      <w:lvlText w:val=""/>
      <w:lvlJc w:val="left"/>
    </w:lvl>
    <w:lvl w:ilvl="4" w:tplc="AEBA8E94">
      <w:start w:val="1"/>
      <w:numFmt w:val="decimal"/>
      <w:lvlText w:val=""/>
      <w:lvlJc w:val="left"/>
    </w:lvl>
    <w:lvl w:ilvl="5" w:tplc="480A251C">
      <w:start w:val="1"/>
      <w:numFmt w:val="decimal"/>
      <w:lvlText w:val=""/>
      <w:lvlJc w:val="left"/>
    </w:lvl>
    <w:lvl w:ilvl="6" w:tplc="186A0A16">
      <w:start w:val="1"/>
      <w:numFmt w:val="decimal"/>
      <w:lvlText w:val=""/>
      <w:lvlJc w:val="left"/>
    </w:lvl>
    <w:lvl w:ilvl="7" w:tplc="59D849EE">
      <w:start w:val="1"/>
      <w:numFmt w:val="decimal"/>
      <w:lvlText w:val=""/>
      <w:lvlJc w:val="left"/>
    </w:lvl>
    <w:lvl w:ilvl="8" w:tplc="C3562FCC">
      <w:start w:val="1"/>
      <w:numFmt w:val="decimal"/>
      <w:lvlText w:val=""/>
      <w:lvlJc w:val="left"/>
    </w:lvl>
  </w:abstractNum>
  <w:abstractNum w:abstractNumId="14" w15:restartNumberingAfterBreak="0">
    <w:nsid w:val="21D1179C"/>
    <w:multiLevelType w:val="hybridMultilevel"/>
    <w:tmpl w:val="04B282B4"/>
    <w:lvl w:ilvl="0" w:tplc="48264472">
      <w:start w:val="1"/>
      <w:numFmt w:val="lowerLetter"/>
      <w:pStyle w:val="Letter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174204"/>
    <w:multiLevelType w:val="hybridMultilevel"/>
    <w:tmpl w:val="00000000"/>
    <w:lvl w:ilvl="0" w:tplc="7F8CA1E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FFC1D78">
      <w:start w:val="1"/>
      <w:numFmt w:val="decimal"/>
      <w:lvlText w:val=""/>
      <w:lvlJc w:val="left"/>
    </w:lvl>
    <w:lvl w:ilvl="2" w:tplc="D938C34A">
      <w:start w:val="1"/>
      <w:numFmt w:val="decimal"/>
      <w:lvlText w:val=""/>
      <w:lvlJc w:val="left"/>
    </w:lvl>
    <w:lvl w:ilvl="3" w:tplc="A1A48C14">
      <w:start w:val="1"/>
      <w:numFmt w:val="decimal"/>
      <w:lvlText w:val=""/>
      <w:lvlJc w:val="left"/>
    </w:lvl>
    <w:lvl w:ilvl="4" w:tplc="690C8746">
      <w:start w:val="1"/>
      <w:numFmt w:val="decimal"/>
      <w:lvlText w:val=""/>
      <w:lvlJc w:val="left"/>
    </w:lvl>
    <w:lvl w:ilvl="5" w:tplc="270449A2">
      <w:start w:val="1"/>
      <w:numFmt w:val="decimal"/>
      <w:lvlText w:val=""/>
      <w:lvlJc w:val="left"/>
    </w:lvl>
    <w:lvl w:ilvl="6" w:tplc="44E44B34">
      <w:start w:val="1"/>
      <w:numFmt w:val="decimal"/>
      <w:lvlText w:val=""/>
      <w:lvlJc w:val="left"/>
    </w:lvl>
    <w:lvl w:ilvl="7" w:tplc="58169D1A">
      <w:start w:val="1"/>
      <w:numFmt w:val="decimal"/>
      <w:lvlText w:val=""/>
      <w:lvlJc w:val="left"/>
    </w:lvl>
    <w:lvl w:ilvl="8" w:tplc="6632EE72">
      <w:start w:val="1"/>
      <w:numFmt w:val="decimal"/>
      <w:lvlText w:val=""/>
      <w:lvlJc w:val="left"/>
    </w:lvl>
  </w:abstractNum>
  <w:abstractNum w:abstractNumId="16" w15:restartNumberingAfterBreak="0">
    <w:nsid w:val="25E8C237"/>
    <w:multiLevelType w:val="hybridMultilevel"/>
    <w:tmpl w:val="00000000"/>
    <w:lvl w:ilvl="0" w:tplc="060C7D6E">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768C4C40">
      <w:start w:val="1"/>
      <w:numFmt w:val="decimal"/>
      <w:lvlText w:val=""/>
      <w:lvlJc w:val="left"/>
    </w:lvl>
    <w:lvl w:ilvl="2" w:tplc="CC9AB846">
      <w:start w:val="1"/>
      <w:numFmt w:val="decimal"/>
      <w:lvlText w:val=""/>
      <w:lvlJc w:val="left"/>
    </w:lvl>
    <w:lvl w:ilvl="3" w:tplc="D5D4DFBC">
      <w:start w:val="1"/>
      <w:numFmt w:val="decimal"/>
      <w:lvlText w:val=""/>
      <w:lvlJc w:val="left"/>
    </w:lvl>
    <w:lvl w:ilvl="4" w:tplc="D39A3756">
      <w:start w:val="1"/>
      <w:numFmt w:val="decimal"/>
      <w:lvlText w:val=""/>
      <w:lvlJc w:val="left"/>
    </w:lvl>
    <w:lvl w:ilvl="5" w:tplc="459845F2">
      <w:start w:val="1"/>
      <w:numFmt w:val="decimal"/>
      <w:lvlText w:val=""/>
      <w:lvlJc w:val="left"/>
    </w:lvl>
    <w:lvl w:ilvl="6" w:tplc="A2F4D954">
      <w:start w:val="1"/>
      <w:numFmt w:val="decimal"/>
      <w:lvlText w:val=""/>
      <w:lvlJc w:val="left"/>
    </w:lvl>
    <w:lvl w:ilvl="7" w:tplc="02AE2D24">
      <w:start w:val="1"/>
      <w:numFmt w:val="decimal"/>
      <w:lvlText w:val=""/>
      <w:lvlJc w:val="left"/>
    </w:lvl>
    <w:lvl w:ilvl="8" w:tplc="43521860">
      <w:start w:val="1"/>
      <w:numFmt w:val="decimal"/>
      <w:lvlText w:val=""/>
      <w:lvlJc w:val="left"/>
    </w:lvl>
  </w:abstractNum>
  <w:abstractNum w:abstractNumId="17" w15:restartNumberingAfterBreak="0">
    <w:nsid w:val="26E0C8B9"/>
    <w:multiLevelType w:val="hybridMultilevel"/>
    <w:tmpl w:val="00000000"/>
    <w:lvl w:ilvl="0" w:tplc="AC82A89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88B29010">
      <w:start w:val="1"/>
      <w:numFmt w:val="decimal"/>
      <w:lvlText w:val=""/>
      <w:lvlJc w:val="left"/>
    </w:lvl>
    <w:lvl w:ilvl="2" w:tplc="52D8828A">
      <w:start w:val="1"/>
      <w:numFmt w:val="decimal"/>
      <w:lvlText w:val=""/>
      <w:lvlJc w:val="left"/>
    </w:lvl>
    <w:lvl w:ilvl="3" w:tplc="798E9EE0">
      <w:start w:val="1"/>
      <w:numFmt w:val="decimal"/>
      <w:lvlText w:val=""/>
      <w:lvlJc w:val="left"/>
    </w:lvl>
    <w:lvl w:ilvl="4" w:tplc="A70858F6">
      <w:start w:val="1"/>
      <w:numFmt w:val="decimal"/>
      <w:lvlText w:val=""/>
      <w:lvlJc w:val="left"/>
    </w:lvl>
    <w:lvl w:ilvl="5" w:tplc="65A61040">
      <w:start w:val="1"/>
      <w:numFmt w:val="decimal"/>
      <w:lvlText w:val=""/>
      <w:lvlJc w:val="left"/>
    </w:lvl>
    <w:lvl w:ilvl="6" w:tplc="BEBCD636">
      <w:start w:val="1"/>
      <w:numFmt w:val="decimal"/>
      <w:lvlText w:val=""/>
      <w:lvlJc w:val="left"/>
    </w:lvl>
    <w:lvl w:ilvl="7" w:tplc="727A4554">
      <w:start w:val="1"/>
      <w:numFmt w:val="decimal"/>
      <w:lvlText w:val=""/>
      <w:lvlJc w:val="left"/>
    </w:lvl>
    <w:lvl w:ilvl="8" w:tplc="0E1A7D2C">
      <w:start w:val="1"/>
      <w:numFmt w:val="decimal"/>
      <w:lvlText w:val=""/>
      <w:lvlJc w:val="left"/>
    </w:lvl>
  </w:abstractNum>
  <w:abstractNum w:abstractNumId="18" w15:restartNumberingAfterBreak="0">
    <w:nsid w:val="334E66CF"/>
    <w:multiLevelType w:val="hybridMultilevel"/>
    <w:tmpl w:val="868AF968"/>
    <w:lvl w:ilvl="0" w:tplc="8E4ED7B2">
      <w:numFmt w:val="bullet"/>
      <w:pStyle w:val="BofaBullet"/>
      <w:lvlText w:val="•"/>
      <w:lvlJc w:val="left"/>
      <w:pPr>
        <w:ind w:left="349" w:hanging="240"/>
      </w:pPr>
      <w:rPr>
        <w:rFonts w:ascii="Calibri Light" w:eastAsia="Calibri Light" w:hAnsi="Calibri Light" w:cs="Calibri Light" w:hint="default"/>
        <w:color w:val="5F8CD6"/>
        <w:spacing w:val="-5"/>
        <w:w w:val="100"/>
        <w:sz w:val="24"/>
        <w:szCs w:val="24"/>
      </w:rPr>
    </w:lvl>
    <w:lvl w:ilvl="1" w:tplc="3322E5E4">
      <w:numFmt w:val="bullet"/>
      <w:lvlText w:val="•"/>
      <w:lvlJc w:val="left"/>
      <w:pPr>
        <w:ind w:left="632" w:hanging="240"/>
      </w:pPr>
      <w:rPr>
        <w:rFonts w:ascii="Calibri Light" w:eastAsia="Calibri Light" w:hAnsi="Calibri Light" w:cs="Calibri Light" w:hint="default"/>
        <w:color w:val="5F8CD6"/>
        <w:spacing w:val="-5"/>
        <w:w w:val="100"/>
        <w:sz w:val="24"/>
        <w:szCs w:val="24"/>
      </w:rPr>
    </w:lvl>
    <w:lvl w:ilvl="2" w:tplc="21BA567A">
      <w:numFmt w:val="bullet"/>
      <w:lvlText w:val="•"/>
      <w:lvlJc w:val="left"/>
      <w:pPr>
        <w:ind w:left="1842" w:hanging="240"/>
      </w:pPr>
      <w:rPr>
        <w:rFonts w:hint="default"/>
      </w:rPr>
    </w:lvl>
    <w:lvl w:ilvl="3" w:tplc="0C765F92">
      <w:numFmt w:val="bullet"/>
      <w:lvlText w:val="•"/>
      <w:lvlJc w:val="left"/>
      <w:pPr>
        <w:ind w:left="3044" w:hanging="240"/>
      </w:pPr>
      <w:rPr>
        <w:rFonts w:hint="default"/>
      </w:rPr>
    </w:lvl>
    <w:lvl w:ilvl="4" w:tplc="F84C000C">
      <w:numFmt w:val="bullet"/>
      <w:lvlText w:val="•"/>
      <w:lvlJc w:val="left"/>
      <w:pPr>
        <w:ind w:left="4246" w:hanging="240"/>
      </w:pPr>
      <w:rPr>
        <w:rFonts w:hint="default"/>
      </w:rPr>
    </w:lvl>
    <w:lvl w:ilvl="5" w:tplc="04C4567E">
      <w:numFmt w:val="bullet"/>
      <w:lvlText w:val="•"/>
      <w:lvlJc w:val="left"/>
      <w:pPr>
        <w:ind w:left="5448" w:hanging="240"/>
      </w:pPr>
      <w:rPr>
        <w:rFonts w:hint="default"/>
      </w:rPr>
    </w:lvl>
    <w:lvl w:ilvl="6" w:tplc="B288847C">
      <w:numFmt w:val="bullet"/>
      <w:lvlText w:val="•"/>
      <w:lvlJc w:val="left"/>
      <w:pPr>
        <w:ind w:left="6651" w:hanging="240"/>
      </w:pPr>
      <w:rPr>
        <w:rFonts w:hint="default"/>
      </w:rPr>
    </w:lvl>
    <w:lvl w:ilvl="7" w:tplc="0D6E761C">
      <w:numFmt w:val="bullet"/>
      <w:lvlText w:val="•"/>
      <w:lvlJc w:val="left"/>
      <w:pPr>
        <w:ind w:left="7853" w:hanging="240"/>
      </w:pPr>
      <w:rPr>
        <w:rFonts w:hint="default"/>
      </w:rPr>
    </w:lvl>
    <w:lvl w:ilvl="8" w:tplc="810E646E">
      <w:numFmt w:val="bullet"/>
      <w:lvlText w:val="•"/>
      <w:lvlJc w:val="left"/>
      <w:pPr>
        <w:ind w:left="9055" w:hanging="240"/>
      </w:pPr>
      <w:rPr>
        <w:rFonts w:hint="default"/>
      </w:rPr>
    </w:lvl>
  </w:abstractNum>
  <w:abstractNum w:abstractNumId="19" w15:restartNumberingAfterBreak="0">
    <w:nsid w:val="353F7FD2"/>
    <w:multiLevelType w:val="hybridMultilevel"/>
    <w:tmpl w:val="6504D078"/>
    <w:lvl w:ilvl="0" w:tplc="328EC3E8">
      <w:start w:val="1"/>
      <w:numFmt w:val="bullet"/>
      <w:pStyle w:val="GSBulletLis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12127CE4">
      <w:start w:val="1"/>
      <w:numFmt w:val="decimal"/>
      <w:lvlText w:val=""/>
      <w:lvlJc w:val="left"/>
    </w:lvl>
    <w:lvl w:ilvl="2" w:tplc="9F12E390">
      <w:start w:val="1"/>
      <w:numFmt w:val="decimal"/>
      <w:lvlText w:val=""/>
      <w:lvlJc w:val="left"/>
    </w:lvl>
    <w:lvl w:ilvl="3" w:tplc="A484EECC">
      <w:start w:val="1"/>
      <w:numFmt w:val="decimal"/>
      <w:lvlText w:val=""/>
      <w:lvlJc w:val="left"/>
    </w:lvl>
    <w:lvl w:ilvl="4" w:tplc="A9BAC000">
      <w:start w:val="1"/>
      <w:numFmt w:val="decimal"/>
      <w:lvlText w:val=""/>
      <w:lvlJc w:val="left"/>
    </w:lvl>
    <w:lvl w:ilvl="5" w:tplc="6B9241EC">
      <w:start w:val="1"/>
      <w:numFmt w:val="decimal"/>
      <w:lvlText w:val=""/>
      <w:lvlJc w:val="left"/>
    </w:lvl>
    <w:lvl w:ilvl="6" w:tplc="7B0E4DDE">
      <w:start w:val="1"/>
      <w:numFmt w:val="decimal"/>
      <w:lvlText w:val=""/>
      <w:lvlJc w:val="left"/>
    </w:lvl>
    <w:lvl w:ilvl="7" w:tplc="AC82731E">
      <w:start w:val="1"/>
      <w:numFmt w:val="decimal"/>
      <w:lvlText w:val=""/>
      <w:lvlJc w:val="left"/>
    </w:lvl>
    <w:lvl w:ilvl="8" w:tplc="E0A265B8">
      <w:start w:val="1"/>
      <w:numFmt w:val="decimal"/>
      <w:lvlText w:val=""/>
      <w:lvlJc w:val="left"/>
    </w:lvl>
  </w:abstractNum>
  <w:abstractNum w:abstractNumId="20" w15:restartNumberingAfterBreak="0">
    <w:nsid w:val="3A3541D3"/>
    <w:multiLevelType w:val="hybridMultilevel"/>
    <w:tmpl w:val="236409C2"/>
    <w:lvl w:ilvl="0" w:tplc="38045A14">
      <w:start w:val="1"/>
      <w:numFmt w:val="decimal"/>
      <w:pStyle w:val="Number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B82F57"/>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C8A3B71"/>
    <w:multiLevelType w:val="hybridMultilevel"/>
    <w:tmpl w:val="494EA560"/>
    <w:lvl w:ilvl="0" w:tplc="8D044398">
      <w:start w:val="1"/>
      <w:numFmt w:val="lowerLetter"/>
      <w:pStyle w:val="BofaLowercaseLetterBullet"/>
      <w:lvlText w:val="(%1)"/>
      <w:lvlJc w:val="left"/>
      <w:pPr>
        <w:ind w:left="60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1868A2"/>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7A0EAA0"/>
    <w:multiLevelType w:val="hybridMultilevel"/>
    <w:tmpl w:val="00000000"/>
    <w:lvl w:ilvl="0" w:tplc="885CB37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801C176E">
      <w:start w:val="1"/>
      <w:numFmt w:val="decimal"/>
      <w:lvlText w:val=""/>
      <w:lvlJc w:val="left"/>
    </w:lvl>
    <w:lvl w:ilvl="2" w:tplc="34D40DF4">
      <w:start w:val="1"/>
      <w:numFmt w:val="decimal"/>
      <w:lvlText w:val=""/>
      <w:lvlJc w:val="left"/>
    </w:lvl>
    <w:lvl w:ilvl="3" w:tplc="C254BB72">
      <w:start w:val="1"/>
      <w:numFmt w:val="decimal"/>
      <w:lvlText w:val=""/>
      <w:lvlJc w:val="left"/>
    </w:lvl>
    <w:lvl w:ilvl="4" w:tplc="BD0C2976">
      <w:start w:val="1"/>
      <w:numFmt w:val="decimal"/>
      <w:lvlText w:val=""/>
      <w:lvlJc w:val="left"/>
    </w:lvl>
    <w:lvl w:ilvl="5" w:tplc="14AA0D2E">
      <w:start w:val="1"/>
      <w:numFmt w:val="decimal"/>
      <w:lvlText w:val=""/>
      <w:lvlJc w:val="left"/>
    </w:lvl>
    <w:lvl w:ilvl="6" w:tplc="07C0ACB8">
      <w:start w:val="1"/>
      <w:numFmt w:val="decimal"/>
      <w:lvlText w:val=""/>
      <w:lvlJc w:val="left"/>
    </w:lvl>
    <w:lvl w:ilvl="7" w:tplc="8F4A7CAC">
      <w:start w:val="1"/>
      <w:numFmt w:val="decimal"/>
      <w:lvlText w:val=""/>
      <w:lvlJc w:val="left"/>
    </w:lvl>
    <w:lvl w:ilvl="8" w:tplc="593A7706">
      <w:start w:val="1"/>
      <w:numFmt w:val="decimal"/>
      <w:lvlText w:val=""/>
      <w:lvlJc w:val="left"/>
    </w:lvl>
  </w:abstractNum>
  <w:abstractNum w:abstractNumId="25" w15:restartNumberingAfterBreak="0">
    <w:nsid w:val="495C85E9"/>
    <w:multiLevelType w:val="hybridMultilevel"/>
    <w:tmpl w:val="00000000"/>
    <w:lvl w:ilvl="0" w:tplc="2AAC8312">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B896C2A6">
      <w:start w:val="1"/>
      <w:numFmt w:val="decimal"/>
      <w:lvlText w:val=""/>
      <w:lvlJc w:val="left"/>
    </w:lvl>
    <w:lvl w:ilvl="2" w:tplc="0F2418FA">
      <w:start w:val="1"/>
      <w:numFmt w:val="decimal"/>
      <w:lvlText w:val=""/>
      <w:lvlJc w:val="left"/>
    </w:lvl>
    <w:lvl w:ilvl="3" w:tplc="7058651C">
      <w:start w:val="1"/>
      <w:numFmt w:val="decimal"/>
      <w:lvlText w:val=""/>
      <w:lvlJc w:val="left"/>
    </w:lvl>
    <w:lvl w:ilvl="4" w:tplc="6A2ECE88">
      <w:start w:val="1"/>
      <w:numFmt w:val="decimal"/>
      <w:lvlText w:val=""/>
      <w:lvlJc w:val="left"/>
    </w:lvl>
    <w:lvl w:ilvl="5" w:tplc="DDA6C76C">
      <w:start w:val="1"/>
      <w:numFmt w:val="decimal"/>
      <w:lvlText w:val=""/>
      <w:lvlJc w:val="left"/>
    </w:lvl>
    <w:lvl w:ilvl="6" w:tplc="206E73CE">
      <w:start w:val="1"/>
      <w:numFmt w:val="decimal"/>
      <w:lvlText w:val=""/>
      <w:lvlJc w:val="left"/>
    </w:lvl>
    <w:lvl w:ilvl="7" w:tplc="2A6A8C5E">
      <w:start w:val="1"/>
      <w:numFmt w:val="decimal"/>
      <w:lvlText w:val=""/>
      <w:lvlJc w:val="left"/>
    </w:lvl>
    <w:lvl w:ilvl="8" w:tplc="91620670">
      <w:start w:val="1"/>
      <w:numFmt w:val="decimal"/>
      <w:lvlText w:val=""/>
      <w:lvlJc w:val="left"/>
    </w:lvl>
  </w:abstractNum>
  <w:abstractNum w:abstractNumId="26" w15:restartNumberingAfterBreak="0">
    <w:nsid w:val="4A61BE8F"/>
    <w:multiLevelType w:val="hybridMultilevel"/>
    <w:tmpl w:val="00000000"/>
    <w:lvl w:ilvl="0" w:tplc="4E9AF7C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FCAB578">
      <w:start w:val="1"/>
      <w:numFmt w:val="decimal"/>
      <w:lvlText w:val=""/>
      <w:lvlJc w:val="left"/>
    </w:lvl>
    <w:lvl w:ilvl="2" w:tplc="4BB83826">
      <w:start w:val="1"/>
      <w:numFmt w:val="decimal"/>
      <w:lvlText w:val=""/>
      <w:lvlJc w:val="left"/>
    </w:lvl>
    <w:lvl w:ilvl="3" w:tplc="749870D4">
      <w:start w:val="1"/>
      <w:numFmt w:val="decimal"/>
      <w:lvlText w:val=""/>
      <w:lvlJc w:val="left"/>
    </w:lvl>
    <w:lvl w:ilvl="4" w:tplc="11AC57BA">
      <w:start w:val="1"/>
      <w:numFmt w:val="decimal"/>
      <w:lvlText w:val=""/>
      <w:lvlJc w:val="left"/>
    </w:lvl>
    <w:lvl w:ilvl="5" w:tplc="EEC20A5C">
      <w:start w:val="1"/>
      <w:numFmt w:val="decimal"/>
      <w:lvlText w:val=""/>
      <w:lvlJc w:val="left"/>
    </w:lvl>
    <w:lvl w:ilvl="6" w:tplc="CB94AA12">
      <w:start w:val="1"/>
      <w:numFmt w:val="decimal"/>
      <w:lvlText w:val=""/>
      <w:lvlJc w:val="left"/>
    </w:lvl>
    <w:lvl w:ilvl="7" w:tplc="0D7E05BE">
      <w:start w:val="1"/>
      <w:numFmt w:val="decimal"/>
      <w:lvlText w:val=""/>
      <w:lvlJc w:val="left"/>
    </w:lvl>
    <w:lvl w:ilvl="8" w:tplc="C5889150">
      <w:start w:val="1"/>
      <w:numFmt w:val="decimal"/>
      <w:lvlText w:val=""/>
      <w:lvlJc w:val="left"/>
    </w:lvl>
  </w:abstractNum>
  <w:abstractNum w:abstractNumId="27" w15:restartNumberingAfterBreak="0">
    <w:nsid w:val="4CB322ED"/>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DDC99F7"/>
    <w:multiLevelType w:val="hybridMultilevel"/>
    <w:tmpl w:val="00000000"/>
    <w:lvl w:ilvl="0" w:tplc="D492838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6714EB22">
      <w:start w:val="1"/>
      <w:numFmt w:val="decimal"/>
      <w:lvlText w:val=""/>
      <w:lvlJc w:val="left"/>
    </w:lvl>
    <w:lvl w:ilvl="2" w:tplc="06B46D36">
      <w:start w:val="1"/>
      <w:numFmt w:val="decimal"/>
      <w:lvlText w:val=""/>
      <w:lvlJc w:val="left"/>
    </w:lvl>
    <w:lvl w:ilvl="3" w:tplc="329836EC">
      <w:start w:val="1"/>
      <w:numFmt w:val="decimal"/>
      <w:lvlText w:val=""/>
      <w:lvlJc w:val="left"/>
    </w:lvl>
    <w:lvl w:ilvl="4" w:tplc="801C24D4">
      <w:start w:val="1"/>
      <w:numFmt w:val="decimal"/>
      <w:lvlText w:val=""/>
      <w:lvlJc w:val="left"/>
    </w:lvl>
    <w:lvl w:ilvl="5" w:tplc="5284E744">
      <w:start w:val="1"/>
      <w:numFmt w:val="decimal"/>
      <w:lvlText w:val=""/>
      <w:lvlJc w:val="left"/>
    </w:lvl>
    <w:lvl w:ilvl="6" w:tplc="E1923624">
      <w:start w:val="1"/>
      <w:numFmt w:val="decimal"/>
      <w:lvlText w:val=""/>
      <w:lvlJc w:val="left"/>
    </w:lvl>
    <w:lvl w:ilvl="7" w:tplc="60E0E784">
      <w:start w:val="1"/>
      <w:numFmt w:val="decimal"/>
      <w:lvlText w:val=""/>
      <w:lvlJc w:val="left"/>
    </w:lvl>
    <w:lvl w:ilvl="8" w:tplc="7A0C7A3E">
      <w:start w:val="1"/>
      <w:numFmt w:val="decimal"/>
      <w:lvlText w:val=""/>
      <w:lvlJc w:val="left"/>
    </w:lvl>
  </w:abstractNum>
  <w:abstractNum w:abstractNumId="29" w15:restartNumberingAfterBreak="0">
    <w:nsid w:val="51DAB3A9"/>
    <w:multiLevelType w:val="hybridMultilevel"/>
    <w:tmpl w:val="00000000"/>
    <w:lvl w:ilvl="0" w:tplc="0D5E1A6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39480A04">
      <w:start w:val="1"/>
      <w:numFmt w:val="decimal"/>
      <w:lvlText w:val=""/>
      <w:lvlJc w:val="left"/>
    </w:lvl>
    <w:lvl w:ilvl="2" w:tplc="968608B0">
      <w:start w:val="1"/>
      <w:numFmt w:val="decimal"/>
      <w:lvlText w:val=""/>
      <w:lvlJc w:val="left"/>
    </w:lvl>
    <w:lvl w:ilvl="3" w:tplc="9266BA1C">
      <w:start w:val="1"/>
      <w:numFmt w:val="decimal"/>
      <w:lvlText w:val=""/>
      <w:lvlJc w:val="left"/>
    </w:lvl>
    <w:lvl w:ilvl="4" w:tplc="390283C4">
      <w:start w:val="1"/>
      <w:numFmt w:val="decimal"/>
      <w:lvlText w:val=""/>
      <w:lvlJc w:val="left"/>
    </w:lvl>
    <w:lvl w:ilvl="5" w:tplc="857660C0">
      <w:start w:val="1"/>
      <w:numFmt w:val="decimal"/>
      <w:lvlText w:val=""/>
      <w:lvlJc w:val="left"/>
    </w:lvl>
    <w:lvl w:ilvl="6" w:tplc="42CACB8A">
      <w:start w:val="1"/>
      <w:numFmt w:val="decimal"/>
      <w:lvlText w:val=""/>
      <w:lvlJc w:val="left"/>
    </w:lvl>
    <w:lvl w:ilvl="7" w:tplc="13724F4C">
      <w:start w:val="1"/>
      <w:numFmt w:val="decimal"/>
      <w:lvlText w:val=""/>
      <w:lvlJc w:val="left"/>
    </w:lvl>
    <w:lvl w:ilvl="8" w:tplc="85D6C9A2">
      <w:start w:val="1"/>
      <w:numFmt w:val="decimal"/>
      <w:lvlText w:val=""/>
      <w:lvlJc w:val="left"/>
    </w:lvl>
  </w:abstractNum>
  <w:abstractNum w:abstractNumId="30" w15:restartNumberingAfterBreak="0">
    <w:nsid w:val="558D6BC2"/>
    <w:multiLevelType w:val="hybridMultilevel"/>
    <w:tmpl w:val="00000000"/>
    <w:lvl w:ilvl="0" w:tplc="173CBA00">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0B3C5276">
      <w:start w:val="1"/>
      <w:numFmt w:val="decimal"/>
      <w:lvlText w:val=""/>
      <w:lvlJc w:val="left"/>
    </w:lvl>
    <w:lvl w:ilvl="2" w:tplc="091CF54E">
      <w:start w:val="1"/>
      <w:numFmt w:val="decimal"/>
      <w:lvlText w:val=""/>
      <w:lvlJc w:val="left"/>
    </w:lvl>
    <w:lvl w:ilvl="3" w:tplc="30F8EF68">
      <w:start w:val="1"/>
      <w:numFmt w:val="decimal"/>
      <w:lvlText w:val=""/>
      <w:lvlJc w:val="left"/>
    </w:lvl>
    <w:lvl w:ilvl="4" w:tplc="F2BCA2B8">
      <w:start w:val="1"/>
      <w:numFmt w:val="decimal"/>
      <w:lvlText w:val=""/>
      <w:lvlJc w:val="left"/>
    </w:lvl>
    <w:lvl w:ilvl="5" w:tplc="EAECE060">
      <w:start w:val="1"/>
      <w:numFmt w:val="decimal"/>
      <w:lvlText w:val=""/>
      <w:lvlJc w:val="left"/>
    </w:lvl>
    <w:lvl w:ilvl="6" w:tplc="5FDC0D4A">
      <w:start w:val="1"/>
      <w:numFmt w:val="decimal"/>
      <w:lvlText w:val=""/>
      <w:lvlJc w:val="left"/>
    </w:lvl>
    <w:lvl w:ilvl="7" w:tplc="25129F5C">
      <w:start w:val="1"/>
      <w:numFmt w:val="decimal"/>
      <w:lvlText w:val=""/>
      <w:lvlJc w:val="left"/>
    </w:lvl>
    <w:lvl w:ilvl="8" w:tplc="0A2E0720">
      <w:start w:val="1"/>
      <w:numFmt w:val="decimal"/>
      <w:lvlText w:val=""/>
      <w:lvlJc w:val="left"/>
    </w:lvl>
  </w:abstractNum>
  <w:abstractNum w:abstractNumId="31" w15:restartNumberingAfterBreak="0">
    <w:nsid w:val="58EEF183"/>
    <w:multiLevelType w:val="hybridMultilevel"/>
    <w:tmpl w:val="00000000"/>
    <w:lvl w:ilvl="0" w:tplc="9B629C1C">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4758792E">
      <w:start w:val="1"/>
      <w:numFmt w:val="decimal"/>
      <w:lvlText w:val=""/>
      <w:lvlJc w:val="left"/>
    </w:lvl>
    <w:lvl w:ilvl="2" w:tplc="38CE806A">
      <w:start w:val="1"/>
      <w:numFmt w:val="decimal"/>
      <w:lvlText w:val=""/>
      <w:lvlJc w:val="left"/>
    </w:lvl>
    <w:lvl w:ilvl="3" w:tplc="E57EA700">
      <w:start w:val="1"/>
      <w:numFmt w:val="decimal"/>
      <w:lvlText w:val=""/>
      <w:lvlJc w:val="left"/>
    </w:lvl>
    <w:lvl w:ilvl="4" w:tplc="225A27EE">
      <w:start w:val="1"/>
      <w:numFmt w:val="decimal"/>
      <w:lvlText w:val=""/>
      <w:lvlJc w:val="left"/>
    </w:lvl>
    <w:lvl w:ilvl="5" w:tplc="577A4B28">
      <w:start w:val="1"/>
      <w:numFmt w:val="decimal"/>
      <w:lvlText w:val=""/>
      <w:lvlJc w:val="left"/>
    </w:lvl>
    <w:lvl w:ilvl="6" w:tplc="D354F21C">
      <w:start w:val="1"/>
      <w:numFmt w:val="decimal"/>
      <w:lvlText w:val=""/>
      <w:lvlJc w:val="left"/>
    </w:lvl>
    <w:lvl w:ilvl="7" w:tplc="A2E0E17C">
      <w:start w:val="1"/>
      <w:numFmt w:val="decimal"/>
      <w:lvlText w:val=""/>
      <w:lvlJc w:val="left"/>
    </w:lvl>
    <w:lvl w:ilvl="8" w:tplc="1480D89E">
      <w:start w:val="1"/>
      <w:numFmt w:val="decimal"/>
      <w:lvlText w:val=""/>
      <w:lvlJc w:val="left"/>
    </w:lvl>
  </w:abstractNum>
  <w:abstractNum w:abstractNumId="32" w15:restartNumberingAfterBreak="0">
    <w:nsid w:val="66598690"/>
    <w:multiLevelType w:val="hybridMultilevel"/>
    <w:tmpl w:val="00000000"/>
    <w:lvl w:ilvl="0" w:tplc="AEE0379A">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8C7AA548">
      <w:start w:val="1"/>
      <w:numFmt w:val="decimal"/>
      <w:lvlText w:val=""/>
      <w:lvlJc w:val="left"/>
    </w:lvl>
    <w:lvl w:ilvl="2" w:tplc="23668C48">
      <w:start w:val="1"/>
      <w:numFmt w:val="decimal"/>
      <w:lvlText w:val=""/>
      <w:lvlJc w:val="left"/>
    </w:lvl>
    <w:lvl w:ilvl="3" w:tplc="4E5ECC52">
      <w:start w:val="1"/>
      <w:numFmt w:val="decimal"/>
      <w:lvlText w:val=""/>
      <w:lvlJc w:val="left"/>
    </w:lvl>
    <w:lvl w:ilvl="4" w:tplc="245AFB36">
      <w:start w:val="1"/>
      <w:numFmt w:val="decimal"/>
      <w:lvlText w:val=""/>
      <w:lvlJc w:val="left"/>
    </w:lvl>
    <w:lvl w:ilvl="5" w:tplc="DA94EFEA">
      <w:start w:val="1"/>
      <w:numFmt w:val="decimal"/>
      <w:lvlText w:val=""/>
      <w:lvlJc w:val="left"/>
    </w:lvl>
    <w:lvl w:ilvl="6" w:tplc="65446C38">
      <w:start w:val="1"/>
      <w:numFmt w:val="decimal"/>
      <w:lvlText w:val=""/>
      <w:lvlJc w:val="left"/>
    </w:lvl>
    <w:lvl w:ilvl="7" w:tplc="2DD80216">
      <w:start w:val="1"/>
      <w:numFmt w:val="decimal"/>
      <w:lvlText w:val=""/>
      <w:lvlJc w:val="left"/>
    </w:lvl>
    <w:lvl w:ilvl="8" w:tplc="413626DC">
      <w:start w:val="1"/>
      <w:numFmt w:val="decimal"/>
      <w:lvlText w:val=""/>
      <w:lvlJc w:val="left"/>
    </w:lvl>
  </w:abstractNum>
  <w:abstractNum w:abstractNumId="33" w15:restartNumberingAfterBreak="0">
    <w:nsid w:val="6700E152"/>
    <w:multiLevelType w:val="hybridMultilevel"/>
    <w:tmpl w:val="45761B02"/>
    <w:lvl w:ilvl="0" w:tplc="5E961A42">
      <w:start w:val="1"/>
      <w:numFmt w:val="lowerRoman"/>
      <w:pStyle w:val="BofaTaxBullet"/>
      <w:lvlText w:val="(%1)"/>
      <w:lvlJc w:val="left"/>
      <w:pPr>
        <w:tabs>
          <w:tab w:val="num" w:pos="786"/>
        </w:tabs>
        <w:ind w:left="786" w:hanging="360"/>
      </w:pPr>
      <w:rPr>
        <w:rFonts w:ascii="Helvetica" w:eastAsia="Helvetica" w:hAnsi="Helvetica" w:cs="Helvetica" w:hint="default"/>
        <w:b w:val="0"/>
        <w:i w:val="0"/>
        <w:color w:val="939598"/>
        <w:sz w:val="16"/>
      </w:rPr>
    </w:lvl>
    <w:lvl w:ilvl="1" w:tplc="0726B1A0">
      <w:start w:val="1"/>
      <w:numFmt w:val="decimal"/>
      <w:lvlText w:val=""/>
      <w:lvlJc w:val="left"/>
    </w:lvl>
    <w:lvl w:ilvl="2" w:tplc="CA722722">
      <w:start w:val="1"/>
      <w:numFmt w:val="decimal"/>
      <w:lvlText w:val=""/>
      <w:lvlJc w:val="left"/>
    </w:lvl>
    <w:lvl w:ilvl="3" w:tplc="B4140A84">
      <w:start w:val="1"/>
      <w:numFmt w:val="decimal"/>
      <w:lvlText w:val=""/>
      <w:lvlJc w:val="left"/>
    </w:lvl>
    <w:lvl w:ilvl="4" w:tplc="CC0EE0C6">
      <w:start w:val="1"/>
      <w:numFmt w:val="decimal"/>
      <w:lvlText w:val=""/>
      <w:lvlJc w:val="left"/>
    </w:lvl>
    <w:lvl w:ilvl="5" w:tplc="A4C45DF2">
      <w:start w:val="1"/>
      <w:numFmt w:val="decimal"/>
      <w:lvlText w:val=""/>
      <w:lvlJc w:val="left"/>
    </w:lvl>
    <w:lvl w:ilvl="6" w:tplc="9D24E3C4">
      <w:start w:val="1"/>
      <w:numFmt w:val="decimal"/>
      <w:lvlText w:val=""/>
      <w:lvlJc w:val="left"/>
    </w:lvl>
    <w:lvl w:ilvl="7" w:tplc="90AA73A8">
      <w:start w:val="1"/>
      <w:numFmt w:val="decimal"/>
      <w:lvlText w:val=""/>
      <w:lvlJc w:val="left"/>
    </w:lvl>
    <w:lvl w:ilvl="8" w:tplc="55E215E4">
      <w:start w:val="1"/>
      <w:numFmt w:val="decimal"/>
      <w:lvlText w:val=""/>
      <w:lvlJc w:val="left"/>
    </w:lvl>
  </w:abstractNum>
  <w:abstractNum w:abstractNumId="34" w15:restartNumberingAfterBreak="0">
    <w:nsid w:val="70D43D49"/>
    <w:multiLevelType w:val="hybridMultilevel"/>
    <w:tmpl w:val="F5AA3862"/>
    <w:lvl w:ilvl="0" w:tplc="9A3A348A">
      <w:start w:val="1"/>
      <w:numFmt w:val="lowerRoman"/>
      <w:pStyle w:val="BofaUnderlyingsRomanList"/>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1241D66"/>
    <w:multiLevelType w:val="hybridMultilevel"/>
    <w:tmpl w:val="00000000"/>
    <w:lvl w:ilvl="0" w:tplc="D5CC8534">
      <w:start w:val="1"/>
      <w:numFmt w:val="bullet"/>
      <w:lvlText w:val="●"/>
      <w:lvlJc w:val="left"/>
      <w:pPr>
        <w:tabs>
          <w:tab w:val="num" w:pos="360"/>
        </w:tabs>
        <w:ind w:left="360" w:hanging="360"/>
      </w:pPr>
      <w:rPr>
        <w:rFonts w:ascii="Arial, ZapfDingbats" w:eastAsia="Arial, ZapfDingbats" w:hAnsi="Arial, ZapfDingbats" w:cs="Arial, ZapfDingbats" w:hint="default"/>
        <w:b w:val="0"/>
        <w:i w:val="0"/>
        <w:sz w:val="12"/>
      </w:rPr>
    </w:lvl>
    <w:lvl w:ilvl="1" w:tplc="B832FCF6">
      <w:start w:val="1"/>
      <w:numFmt w:val="decimal"/>
      <w:lvlText w:val=""/>
      <w:lvlJc w:val="left"/>
    </w:lvl>
    <w:lvl w:ilvl="2" w:tplc="2DEC2A46">
      <w:start w:val="1"/>
      <w:numFmt w:val="decimal"/>
      <w:lvlText w:val=""/>
      <w:lvlJc w:val="left"/>
    </w:lvl>
    <w:lvl w:ilvl="3" w:tplc="16B684E6">
      <w:start w:val="1"/>
      <w:numFmt w:val="decimal"/>
      <w:lvlText w:val=""/>
      <w:lvlJc w:val="left"/>
    </w:lvl>
    <w:lvl w:ilvl="4" w:tplc="FD5C5130">
      <w:start w:val="1"/>
      <w:numFmt w:val="decimal"/>
      <w:lvlText w:val=""/>
      <w:lvlJc w:val="left"/>
    </w:lvl>
    <w:lvl w:ilvl="5" w:tplc="F33E4EE2">
      <w:start w:val="1"/>
      <w:numFmt w:val="decimal"/>
      <w:lvlText w:val=""/>
      <w:lvlJc w:val="left"/>
    </w:lvl>
    <w:lvl w:ilvl="6" w:tplc="AFE68E6A">
      <w:start w:val="1"/>
      <w:numFmt w:val="decimal"/>
      <w:lvlText w:val=""/>
      <w:lvlJc w:val="left"/>
    </w:lvl>
    <w:lvl w:ilvl="7" w:tplc="0F3A6C0C">
      <w:start w:val="1"/>
      <w:numFmt w:val="decimal"/>
      <w:lvlText w:val=""/>
      <w:lvlJc w:val="left"/>
    </w:lvl>
    <w:lvl w:ilvl="8" w:tplc="6AB2AAFE">
      <w:start w:val="1"/>
      <w:numFmt w:val="decimal"/>
      <w:lvlText w:val=""/>
      <w:lvlJc w:val="left"/>
    </w:lvl>
  </w:abstractNum>
  <w:abstractNum w:abstractNumId="36" w15:restartNumberingAfterBreak="0">
    <w:nsid w:val="738039F4"/>
    <w:multiLevelType w:val="hybridMultilevel"/>
    <w:tmpl w:val="EB3E63B6"/>
    <w:lvl w:ilvl="0" w:tplc="A094E454">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631704"/>
    <w:multiLevelType w:val="hybridMultilevel"/>
    <w:tmpl w:val="4468C34E"/>
    <w:lvl w:ilvl="0" w:tplc="9F1C9B78">
      <w:start w:val="1"/>
      <w:numFmt w:val="decimal"/>
      <w:pStyle w:val="BofaNumberedBullet"/>
      <w:lvlText w:val="(%1)"/>
      <w:lvlJc w:val="left"/>
      <w:pPr>
        <w:ind w:left="848" w:hanging="360"/>
      </w:pPr>
      <w:rPr>
        <w:rFonts w:hint="default"/>
      </w:rPr>
    </w:lvl>
    <w:lvl w:ilvl="1" w:tplc="08090019" w:tentative="1">
      <w:start w:val="1"/>
      <w:numFmt w:val="lowerLetter"/>
      <w:lvlText w:val="%2."/>
      <w:lvlJc w:val="left"/>
      <w:pPr>
        <w:ind w:left="1684" w:hanging="360"/>
      </w:pPr>
    </w:lvl>
    <w:lvl w:ilvl="2" w:tplc="0809001B" w:tentative="1">
      <w:start w:val="1"/>
      <w:numFmt w:val="lowerRoman"/>
      <w:lvlText w:val="%3."/>
      <w:lvlJc w:val="right"/>
      <w:pPr>
        <w:ind w:left="2404" w:hanging="180"/>
      </w:pPr>
    </w:lvl>
    <w:lvl w:ilvl="3" w:tplc="0809000F" w:tentative="1">
      <w:start w:val="1"/>
      <w:numFmt w:val="decimal"/>
      <w:lvlText w:val="%4."/>
      <w:lvlJc w:val="left"/>
      <w:pPr>
        <w:ind w:left="3124" w:hanging="360"/>
      </w:pPr>
    </w:lvl>
    <w:lvl w:ilvl="4" w:tplc="08090019" w:tentative="1">
      <w:start w:val="1"/>
      <w:numFmt w:val="lowerLetter"/>
      <w:lvlText w:val="%5."/>
      <w:lvlJc w:val="left"/>
      <w:pPr>
        <w:ind w:left="3844" w:hanging="360"/>
      </w:pPr>
    </w:lvl>
    <w:lvl w:ilvl="5" w:tplc="0809001B" w:tentative="1">
      <w:start w:val="1"/>
      <w:numFmt w:val="lowerRoman"/>
      <w:lvlText w:val="%6."/>
      <w:lvlJc w:val="right"/>
      <w:pPr>
        <w:ind w:left="4564" w:hanging="180"/>
      </w:pPr>
    </w:lvl>
    <w:lvl w:ilvl="6" w:tplc="0809000F" w:tentative="1">
      <w:start w:val="1"/>
      <w:numFmt w:val="decimal"/>
      <w:lvlText w:val="%7."/>
      <w:lvlJc w:val="left"/>
      <w:pPr>
        <w:ind w:left="5284" w:hanging="360"/>
      </w:pPr>
    </w:lvl>
    <w:lvl w:ilvl="7" w:tplc="08090019" w:tentative="1">
      <w:start w:val="1"/>
      <w:numFmt w:val="lowerLetter"/>
      <w:lvlText w:val="%8."/>
      <w:lvlJc w:val="left"/>
      <w:pPr>
        <w:ind w:left="6004" w:hanging="360"/>
      </w:pPr>
    </w:lvl>
    <w:lvl w:ilvl="8" w:tplc="0809001B" w:tentative="1">
      <w:start w:val="1"/>
      <w:numFmt w:val="lowerRoman"/>
      <w:lvlText w:val="%9."/>
      <w:lvlJc w:val="right"/>
      <w:pPr>
        <w:ind w:left="6724" w:hanging="180"/>
      </w:pPr>
    </w:lvl>
  </w:abstractNum>
  <w:num w:numId="1" w16cid:durableId="244000013">
    <w:abstractNumId w:val="19"/>
  </w:num>
  <w:num w:numId="2" w16cid:durableId="1667440740">
    <w:abstractNumId w:val="29"/>
  </w:num>
  <w:num w:numId="3" w16cid:durableId="1081102450">
    <w:abstractNumId w:val="35"/>
  </w:num>
  <w:num w:numId="4" w16cid:durableId="797382321">
    <w:abstractNumId w:val="30"/>
  </w:num>
  <w:num w:numId="5" w16cid:durableId="1519081054">
    <w:abstractNumId w:val="12"/>
  </w:num>
  <w:num w:numId="6" w16cid:durableId="493685970">
    <w:abstractNumId w:val="15"/>
  </w:num>
  <w:num w:numId="7" w16cid:durableId="1320386400">
    <w:abstractNumId w:val="13"/>
  </w:num>
  <w:num w:numId="8" w16cid:durableId="223368574">
    <w:abstractNumId w:val="25"/>
  </w:num>
  <w:num w:numId="9" w16cid:durableId="350959133">
    <w:abstractNumId w:val="24"/>
  </w:num>
  <w:num w:numId="10" w16cid:durableId="646710854">
    <w:abstractNumId w:val="26"/>
  </w:num>
  <w:num w:numId="11" w16cid:durableId="268202909">
    <w:abstractNumId w:val="17"/>
  </w:num>
  <w:num w:numId="12" w16cid:durableId="1601643630">
    <w:abstractNumId w:val="28"/>
  </w:num>
  <w:num w:numId="13" w16cid:durableId="1312293971">
    <w:abstractNumId w:val="9"/>
  </w:num>
  <w:num w:numId="14" w16cid:durableId="2103528190">
    <w:abstractNumId w:val="32"/>
  </w:num>
  <w:num w:numId="15" w16cid:durableId="2063164994">
    <w:abstractNumId w:val="16"/>
  </w:num>
  <w:num w:numId="16" w16cid:durableId="1953899760">
    <w:abstractNumId w:val="31"/>
  </w:num>
  <w:num w:numId="17" w16cid:durableId="2043507755">
    <w:abstractNumId w:val="0"/>
  </w:num>
  <w:num w:numId="18" w16cid:durableId="800417407">
    <w:abstractNumId w:val="1"/>
  </w:num>
  <w:num w:numId="19" w16cid:durableId="977957690">
    <w:abstractNumId w:val="2"/>
  </w:num>
  <w:num w:numId="20" w16cid:durableId="1547135420">
    <w:abstractNumId w:val="3"/>
  </w:num>
  <w:num w:numId="21" w16cid:durableId="1279675733">
    <w:abstractNumId w:val="4"/>
  </w:num>
  <w:num w:numId="22" w16cid:durableId="463237530">
    <w:abstractNumId w:val="5"/>
  </w:num>
  <w:num w:numId="23" w16cid:durableId="1730568464">
    <w:abstractNumId w:val="6"/>
  </w:num>
  <w:num w:numId="24" w16cid:durableId="2087219924">
    <w:abstractNumId w:val="7"/>
  </w:num>
  <w:num w:numId="25" w16cid:durableId="2053964199">
    <w:abstractNumId w:val="8"/>
  </w:num>
  <w:num w:numId="26" w16cid:durableId="733822127">
    <w:abstractNumId w:val="18"/>
  </w:num>
  <w:num w:numId="27" w16cid:durableId="353116723">
    <w:abstractNumId w:val="11"/>
  </w:num>
  <w:num w:numId="28" w16cid:durableId="1305113271">
    <w:abstractNumId w:val="22"/>
  </w:num>
  <w:num w:numId="29" w16cid:durableId="1289779825">
    <w:abstractNumId w:val="37"/>
  </w:num>
  <w:num w:numId="30" w16cid:durableId="935291141">
    <w:abstractNumId w:val="33"/>
  </w:num>
  <w:num w:numId="31" w16cid:durableId="1803844690">
    <w:abstractNumId w:val="34"/>
  </w:num>
  <w:num w:numId="32" w16cid:durableId="524296509">
    <w:abstractNumId w:val="11"/>
  </w:num>
  <w:num w:numId="33" w16cid:durableId="585772382">
    <w:abstractNumId w:val="22"/>
  </w:num>
  <w:num w:numId="34" w16cid:durableId="206185383">
    <w:abstractNumId w:val="37"/>
  </w:num>
  <w:num w:numId="35" w16cid:durableId="1235628075">
    <w:abstractNumId w:val="33"/>
  </w:num>
  <w:num w:numId="36" w16cid:durableId="300306094">
    <w:abstractNumId w:val="34"/>
  </w:num>
  <w:num w:numId="37" w16cid:durableId="1947692022">
    <w:abstractNumId w:val="27"/>
  </w:num>
  <w:num w:numId="38" w16cid:durableId="1071269806">
    <w:abstractNumId w:val="21"/>
  </w:num>
  <w:num w:numId="39" w16cid:durableId="871579151">
    <w:abstractNumId w:val="10"/>
  </w:num>
  <w:num w:numId="40" w16cid:durableId="1830172532">
    <w:abstractNumId w:val="23"/>
  </w:num>
  <w:num w:numId="41" w16cid:durableId="286591205">
    <w:abstractNumId w:val="36"/>
  </w:num>
  <w:num w:numId="42" w16cid:durableId="834489819">
    <w:abstractNumId w:val="7"/>
  </w:num>
  <w:num w:numId="43" w16cid:durableId="1271357312">
    <w:abstractNumId w:val="14"/>
  </w:num>
  <w:num w:numId="44" w16cid:durableId="555510075">
    <w:abstractNumId w:val="20"/>
  </w:num>
  <w:num w:numId="45" w16cid:durableId="2076851536">
    <w:abstractNumId w:val="1"/>
  </w:num>
  <w:num w:numId="46" w16cid:durableId="909536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95"/>
    <w:rsid w:val="00005C02"/>
    <w:rsid w:val="00006A84"/>
    <w:rsid w:val="00010927"/>
    <w:rsid w:val="00012619"/>
    <w:rsid w:val="00020298"/>
    <w:rsid w:val="000263EA"/>
    <w:rsid w:val="00032A3B"/>
    <w:rsid w:val="00033D9B"/>
    <w:rsid w:val="000508C4"/>
    <w:rsid w:val="00057F28"/>
    <w:rsid w:val="00060DE9"/>
    <w:rsid w:val="0006607C"/>
    <w:rsid w:val="00087D03"/>
    <w:rsid w:val="0009497E"/>
    <w:rsid w:val="000A6917"/>
    <w:rsid w:val="000C167D"/>
    <w:rsid w:val="000C5014"/>
    <w:rsid w:val="000D0F48"/>
    <w:rsid w:val="000D2A21"/>
    <w:rsid w:val="000D67EC"/>
    <w:rsid w:val="000D72EA"/>
    <w:rsid w:val="000E2EE7"/>
    <w:rsid w:val="000E5257"/>
    <w:rsid w:val="000F346A"/>
    <w:rsid w:val="00100FED"/>
    <w:rsid w:val="00102FAD"/>
    <w:rsid w:val="001046EF"/>
    <w:rsid w:val="0011613E"/>
    <w:rsid w:val="00124701"/>
    <w:rsid w:val="00135B92"/>
    <w:rsid w:val="00137A9C"/>
    <w:rsid w:val="00147EDB"/>
    <w:rsid w:val="0015426B"/>
    <w:rsid w:val="001548FA"/>
    <w:rsid w:val="00163E38"/>
    <w:rsid w:val="00174590"/>
    <w:rsid w:val="001A4EEE"/>
    <w:rsid w:val="001A56A0"/>
    <w:rsid w:val="001B09F9"/>
    <w:rsid w:val="001B2A18"/>
    <w:rsid w:val="001B2E66"/>
    <w:rsid w:val="001B6D79"/>
    <w:rsid w:val="001B7657"/>
    <w:rsid w:val="001C1622"/>
    <w:rsid w:val="001C2164"/>
    <w:rsid w:val="001C5168"/>
    <w:rsid w:val="001C7829"/>
    <w:rsid w:val="001D076E"/>
    <w:rsid w:val="001D28F3"/>
    <w:rsid w:val="001D43B3"/>
    <w:rsid w:val="001D47D7"/>
    <w:rsid w:val="001D780A"/>
    <w:rsid w:val="001F5528"/>
    <w:rsid w:val="002001DF"/>
    <w:rsid w:val="002067DC"/>
    <w:rsid w:val="0020732E"/>
    <w:rsid w:val="00210005"/>
    <w:rsid w:val="002137C6"/>
    <w:rsid w:val="00216DD2"/>
    <w:rsid w:val="00220B25"/>
    <w:rsid w:val="002419FB"/>
    <w:rsid w:val="0024635A"/>
    <w:rsid w:val="00252EF6"/>
    <w:rsid w:val="00256EFD"/>
    <w:rsid w:val="00262006"/>
    <w:rsid w:val="00273415"/>
    <w:rsid w:val="00273474"/>
    <w:rsid w:val="00280602"/>
    <w:rsid w:val="00283BC6"/>
    <w:rsid w:val="00290168"/>
    <w:rsid w:val="00294438"/>
    <w:rsid w:val="002A07E7"/>
    <w:rsid w:val="002A0B9B"/>
    <w:rsid w:val="002A3B05"/>
    <w:rsid w:val="002A7444"/>
    <w:rsid w:val="002B03C0"/>
    <w:rsid w:val="002C7BCD"/>
    <w:rsid w:val="002D2BB8"/>
    <w:rsid w:val="002D63C2"/>
    <w:rsid w:val="002E55E9"/>
    <w:rsid w:val="002E69FE"/>
    <w:rsid w:val="002F188A"/>
    <w:rsid w:val="002F25BE"/>
    <w:rsid w:val="002F6E89"/>
    <w:rsid w:val="003022DB"/>
    <w:rsid w:val="00304DC6"/>
    <w:rsid w:val="003129B6"/>
    <w:rsid w:val="00312C89"/>
    <w:rsid w:val="00312FB5"/>
    <w:rsid w:val="00321721"/>
    <w:rsid w:val="00331D62"/>
    <w:rsid w:val="003321E7"/>
    <w:rsid w:val="00335BEF"/>
    <w:rsid w:val="00337C63"/>
    <w:rsid w:val="0034139B"/>
    <w:rsid w:val="00341996"/>
    <w:rsid w:val="003529A9"/>
    <w:rsid w:val="00370764"/>
    <w:rsid w:val="003718A3"/>
    <w:rsid w:val="003733D0"/>
    <w:rsid w:val="00375948"/>
    <w:rsid w:val="00382104"/>
    <w:rsid w:val="0038546C"/>
    <w:rsid w:val="003B6E2C"/>
    <w:rsid w:val="003C2467"/>
    <w:rsid w:val="003D0A2E"/>
    <w:rsid w:val="003D46D3"/>
    <w:rsid w:val="003D5362"/>
    <w:rsid w:val="003E6977"/>
    <w:rsid w:val="00400589"/>
    <w:rsid w:val="004028B5"/>
    <w:rsid w:val="00402B20"/>
    <w:rsid w:val="00403BA2"/>
    <w:rsid w:val="00406DB0"/>
    <w:rsid w:val="004118DF"/>
    <w:rsid w:val="0041255A"/>
    <w:rsid w:val="004126F6"/>
    <w:rsid w:val="00415C4B"/>
    <w:rsid w:val="00415D85"/>
    <w:rsid w:val="00420E6E"/>
    <w:rsid w:val="00427DCA"/>
    <w:rsid w:val="00430698"/>
    <w:rsid w:val="0043207D"/>
    <w:rsid w:val="004412C1"/>
    <w:rsid w:val="004455BC"/>
    <w:rsid w:val="0045050D"/>
    <w:rsid w:val="00464C64"/>
    <w:rsid w:val="00467CB7"/>
    <w:rsid w:val="00470943"/>
    <w:rsid w:val="00486969"/>
    <w:rsid w:val="00493A84"/>
    <w:rsid w:val="004A1156"/>
    <w:rsid w:val="004A4A54"/>
    <w:rsid w:val="004C3339"/>
    <w:rsid w:val="004C3C0E"/>
    <w:rsid w:val="004C4FE3"/>
    <w:rsid w:val="004C74B9"/>
    <w:rsid w:val="004D114D"/>
    <w:rsid w:val="004D2176"/>
    <w:rsid w:val="004E3B27"/>
    <w:rsid w:val="004E485F"/>
    <w:rsid w:val="004F2E1B"/>
    <w:rsid w:val="004F303C"/>
    <w:rsid w:val="00507200"/>
    <w:rsid w:val="00513472"/>
    <w:rsid w:val="0051675F"/>
    <w:rsid w:val="00517486"/>
    <w:rsid w:val="00522334"/>
    <w:rsid w:val="005252B7"/>
    <w:rsid w:val="005378AC"/>
    <w:rsid w:val="0054070B"/>
    <w:rsid w:val="00540E49"/>
    <w:rsid w:val="0054206B"/>
    <w:rsid w:val="00551F8C"/>
    <w:rsid w:val="00552999"/>
    <w:rsid w:val="00553C15"/>
    <w:rsid w:val="00560F30"/>
    <w:rsid w:val="00561F7E"/>
    <w:rsid w:val="0056764B"/>
    <w:rsid w:val="005719AF"/>
    <w:rsid w:val="00573573"/>
    <w:rsid w:val="005755D7"/>
    <w:rsid w:val="00581D59"/>
    <w:rsid w:val="00583611"/>
    <w:rsid w:val="005850A7"/>
    <w:rsid w:val="005904A3"/>
    <w:rsid w:val="005A0D84"/>
    <w:rsid w:val="005A69EF"/>
    <w:rsid w:val="005B395F"/>
    <w:rsid w:val="005B6B66"/>
    <w:rsid w:val="005B6B6E"/>
    <w:rsid w:val="005D2986"/>
    <w:rsid w:val="005D5708"/>
    <w:rsid w:val="005E00AC"/>
    <w:rsid w:val="005E23CB"/>
    <w:rsid w:val="005E2669"/>
    <w:rsid w:val="005E552A"/>
    <w:rsid w:val="005E7EEC"/>
    <w:rsid w:val="005F2658"/>
    <w:rsid w:val="00601124"/>
    <w:rsid w:val="00612B63"/>
    <w:rsid w:val="006167B5"/>
    <w:rsid w:val="006172A9"/>
    <w:rsid w:val="0062289C"/>
    <w:rsid w:val="006530A9"/>
    <w:rsid w:val="00653F12"/>
    <w:rsid w:val="00662717"/>
    <w:rsid w:val="00666893"/>
    <w:rsid w:val="006800D8"/>
    <w:rsid w:val="00682E23"/>
    <w:rsid w:val="00684C81"/>
    <w:rsid w:val="006872FA"/>
    <w:rsid w:val="006A1AA7"/>
    <w:rsid w:val="006A46CD"/>
    <w:rsid w:val="006B2EB1"/>
    <w:rsid w:val="006B3A93"/>
    <w:rsid w:val="006C4C70"/>
    <w:rsid w:val="006C73C0"/>
    <w:rsid w:val="006D50C4"/>
    <w:rsid w:val="006D7B70"/>
    <w:rsid w:val="006E1BFB"/>
    <w:rsid w:val="006E3F40"/>
    <w:rsid w:val="007022FB"/>
    <w:rsid w:val="00720A79"/>
    <w:rsid w:val="00722334"/>
    <w:rsid w:val="007252E1"/>
    <w:rsid w:val="007264F2"/>
    <w:rsid w:val="00735E3C"/>
    <w:rsid w:val="00736422"/>
    <w:rsid w:val="007471EC"/>
    <w:rsid w:val="00747520"/>
    <w:rsid w:val="007563E1"/>
    <w:rsid w:val="00762362"/>
    <w:rsid w:val="00763402"/>
    <w:rsid w:val="0076487F"/>
    <w:rsid w:val="00770FFE"/>
    <w:rsid w:val="00773024"/>
    <w:rsid w:val="00784278"/>
    <w:rsid w:val="00786998"/>
    <w:rsid w:val="00786999"/>
    <w:rsid w:val="00795DCF"/>
    <w:rsid w:val="00796F0D"/>
    <w:rsid w:val="007A0492"/>
    <w:rsid w:val="007A56F3"/>
    <w:rsid w:val="007A7173"/>
    <w:rsid w:val="007B54EB"/>
    <w:rsid w:val="007C23D3"/>
    <w:rsid w:val="007C42F7"/>
    <w:rsid w:val="007C473F"/>
    <w:rsid w:val="007C6796"/>
    <w:rsid w:val="007C79CF"/>
    <w:rsid w:val="007D4407"/>
    <w:rsid w:val="007E1826"/>
    <w:rsid w:val="007E27A7"/>
    <w:rsid w:val="007F4A09"/>
    <w:rsid w:val="00816B86"/>
    <w:rsid w:val="00822DA7"/>
    <w:rsid w:val="008362AE"/>
    <w:rsid w:val="00871ADF"/>
    <w:rsid w:val="00874E76"/>
    <w:rsid w:val="00875296"/>
    <w:rsid w:val="00881F19"/>
    <w:rsid w:val="0089031A"/>
    <w:rsid w:val="00891698"/>
    <w:rsid w:val="00891F80"/>
    <w:rsid w:val="00895A71"/>
    <w:rsid w:val="008A0648"/>
    <w:rsid w:val="008B053B"/>
    <w:rsid w:val="008C1DE3"/>
    <w:rsid w:val="008C28AB"/>
    <w:rsid w:val="008D5607"/>
    <w:rsid w:val="008D6F89"/>
    <w:rsid w:val="008E3821"/>
    <w:rsid w:val="008E6FD2"/>
    <w:rsid w:val="008E715E"/>
    <w:rsid w:val="008F2741"/>
    <w:rsid w:val="00914288"/>
    <w:rsid w:val="00915995"/>
    <w:rsid w:val="0092194B"/>
    <w:rsid w:val="009221E0"/>
    <w:rsid w:val="00923194"/>
    <w:rsid w:val="00934C8C"/>
    <w:rsid w:val="00935886"/>
    <w:rsid w:val="009518D9"/>
    <w:rsid w:val="009530EC"/>
    <w:rsid w:val="00954817"/>
    <w:rsid w:val="00964957"/>
    <w:rsid w:val="00967543"/>
    <w:rsid w:val="00974E1D"/>
    <w:rsid w:val="00980020"/>
    <w:rsid w:val="009806C5"/>
    <w:rsid w:val="00981D7F"/>
    <w:rsid w:val="00985133"/>
    <w:rsid w:val="009A2F7A"/>
    <w:rsid w:val="009B32AA"/>
    <w:rsid w:val="009B72F4"/>
    <w:rsid w:val="009C39A5"/>
    <w:rsid w:val="009C42EB"/>
    <w:rsid w:val="009C72DB"/>
    <w:rsid w:val="009D0B1C"/>
    <w:rsid w:val="009D2FF6"/>
    <w:rsid w:val="009E4D3C"/>
    <w:rsid w:val="009E5323"/>
    <w:rsid w:val="009E5696"/>
    <w:rsid w:val="00A12566"/>
    <w:rsid w:val="00A1485B"/>
    <w:rsid w:val="00A1540C"/>
    <w:rsid w:val="00A307C7"/>
    <w:rsid w:val="00A345DB"/>
    <w:rsid w:val="00A3599A"/>
    <w:rsid w:val="00A60597"/>
    <w:rsid w:val="00A7010D"/>
    <w:rsid w:val="00A70C54"/>
    <w:rsid w:val="00A717C6"/>
    <w:rsid w:val="00A731AC"/>
    <w:rsid w:val="00A7610B"/>
    <w:rsid w:val="00A77B9B"/>
    <w:rsid w:val="00A80D93"/>
    <w:rsid w:val="00A80FC3"/>
    <w:rsid w:val="00A81020"/>
    <w:rsid w:val="00A83BCA"/>
    <w:rsid w:val="00A84EEB"/>
    <w:rsid w:val="00A87DFD"/>
    <w:rsid w:val="00A93465"/>
    <w:rsid w:val="00A966CB"/>
    <w:rsid w:val="00A97003"/>
    <w:rsid w:val="00AA016D"/>
    <w:rsid w:val="00AA0217"/>
    <w:rsid w:val="00AA1F5F"/>
    <w:rsid w:val="00AA2AF3"/>
    <w:rsid w:val="00AA7A06"/>
    <w:rsid w:val="00AB02E9"/>
    <w:rsid w:val="00AB202B"/>
    <w:rsid w:val="00AB4AD4"/>
    <w:rsid w:val="00AB7049"/>
    <w:rsid w:val="00AC0ACE"/>
    <w:rsid w:val="00AD4596"/>
    <w:rsid w:val="00AD4E31"/>
    <w:rsid w:val="00AD6751"/>
    <w:rsid w:val="00AE4F0E"/>
    <w:rsid w:val="00AE7570"/>
    <w:rsid w:val="00AF5960"/>
    <w:rsid w:val="00B01C67"/>
    <w:rsid w:val="00B06A60"/>
    <w:rsid w:val="00B12ED4"/>
    <w:rsid w:val="00B139E1"/>
    <w:rsid w:val="00B14E7D"/>
    <w:rsid w:val="00B272CD"/>
    <w:rsid w:val="00B308DE"/>
    <w:rsid w:val="00B31E98"/>
    <w:rsid w:val="00B3327A"/>
    <w:rsid w:val="00B336AE"/>
    <w:rsid w:val="00B4118E"/>
    <w:rsid w:val="00B4566C"/>
    <w:rsid w:val="00B56653"/>
    <w:rsid w:val="00B62626"/>
    <w:rsid w:val="00B65BA4"/>
    <w:rsid w:val="00B66C5C"/>
    <w:rsid w:val="00B721E4"/>
    <w:rsid w:val="00B73201"/>
    <w:rsid w:val="00B73CB4"/>
    <w:rsid w:val="00B74A2C"/>
    <w:rsid w:val="00B74B99"/>
    <w:rsid w:val="00B77619"/>
    <w:rsid w:val="00B77A95"/>
    <w:rsid w:val="00B84FA5"/>
    <w:rsid w:val="00B86236"/>
    <w:rsid w:val="00B879D0"/>
    <w:rsid w:val="00B91791"/>
    <w:rsid w:val="00B94D6A"/>
    <w:rsid w:val="00BA2BF4"/>
    <w:rsid w:val="00BA4B5C"/>
    <w:rsid w:val="00BB05EF"/>
    <w:rsid w:val="00BB7644"/>
    <w:rsid w:val="00BD078C"/>
    <w:rsid w:val="00BD13C5"/>
    <w:rsid w:val="00BF0913"/>
    <w:rsid w:val="00BF22DB"/>
    <w:rsid w:val="00BF6E75"/>
    <w:rsid w:val="00BF70B0"/>
    <w:rsid w:val="00BF7985"/>
    <w:rsid w:val="00C07C88"/>
    <w:rsid w:val="00C11048"/>
    <w:rsid w:val="00C13E75"/>
    <w:rsid w:val="00C21EC4"/>
    <w:rsid w:val="00C27B1F"/>
    <w:rsid w:val="00C43BEB"/>
    <w:rsid w:val="00C50B7C"/>
    <w:rsid w:val="00C512FE"/>
    <w:rsid w:val="00C52DF6"/>
    <w:rsid w:val="00C56A77"/>
    <w:rsid w:val="00C640F3"/>
    <w:rsid w:val="00C6646C"/>
    <w:rsid w:val="00C66827"/>
    <w:rsid w:val="00C7091F"/>
    <w:rsid w:val="00C72884"/>
    <w:rsid w:val="00C81DAF"/>
    <w:rsid w:val="00C82398"/>
    <w:rsid w:val="00C84B7C"/>
    <w:rsid w:val="00C92101"/>
    <w:rsid w:val="00C921F7"/>
    <w:rsid w:val="00C925D4"/>
    <w:rsid w:val="00C92FE3"/>
    <w:rsid w:val="00CA4134"/>
    <w:rsid w:val="00CA4C7B"/>
    <w:rsid w:val="00CA5389"/>
    <w:rsid w:val="00CA7D71"/>
    <w:rsid w:val="00CC0A65"/>
    <w:rsid w:val="00CC7C5A"/>
    <w:rsid w:val="00CD072A"/>
    <w:rsid w:val="00CD4B54"/>
    <w:rsid w:val="00CD6A79"/>
    <w:rsid w:val="00CE1197"/>
    <w:rsid w:val="00CE5557"/>
    <w:rsid w:val="00D01C91"/>
    <w:rsid w:val="00D07BAF"/>
    <w:rsid w:val="00D12CD6"/>
    <w:rsid w:val="00D1491D"/>
    <w:rsid w:val="00D226CE"/>
    <w:rsid w:val="00D25C64"/>
    <w:rsid w:val="00D42501"/>
    <w:rsid w:val="00D42EB5"/>
    <w:rsid w:val="00D81BA8"/>
    <w:rsid w:val="00D9031F"/>
    <w:rsid w:val="00D92E66"/>
    <w:rsid w:val="00D94D14"/>
    <w:rsid w:val="00DA214B"/>
    <w:rsid w:val="00DA372D"/>
    <w:rsid w:val="00DA5F5D"/>
    <w:rsid w:val="00DA6E38"/>
    <w:rsid w:val="00DA7DAD"/>
    <w:rsid w:val="00DB2871"/>
    <w:rsid w:val="00DD19A6"/>
    <w:rsid w:val="00DE0807"/>
    <w:rsid w:val="00DE4424"/>
    <w:rsid w:val="00DF40C7"/>
    <w:rsid w:val="00E056D3"/>
    <w:rsid w:val="00E21192"/>
    <w:rsid w:val="00E27883"/>
    <w:rsid w:val="00E3219E"/>
    <w:rsid w:val="00E33E72"/>
    <w:rsid w:val="00E415C1"/>
    <w:rsid w:val="00E51F4E"/>
    <w:rsid w:val="00E52BBD"/>
    <w:rsid w:val="00E5315C"/>
    <w:rsid w:val="00E54D28"/>
    <w:rsid w:val="00E55511"/>
    <w:rsid w:val="00E56638"/>
    <w:rsid w:val="00E5733F"/>
    <w:rsid w:val="00E66F41"/>
    <w:rsid w:val="00E71038"/>
    <w:rsid w:val="00E73C88"/>
    <w:rsid w:val="00E812BB"/>
    <w:rsid w:val="00E8186B"/>
    <w:rsid w:val="00E82376"/>
    <w:rsid w:val="00E83895"/>
    <w:rsid w:val="00E85721"/>
    <w:rsid w:val="00E93AF2"/>
    <w:rsid w:val="00E97840"/>
    <w:rsid w:val="00EA4A6C"/>
    <w:rsid w:val="00EA6159"/>
    <w:rsid w:val="00EB34D6"/>
    <w:rsid w:val="00EB452E"/>
    <w:rsid w:val="00EB4FCA"/>
    <w:rsid w:val="00EC6628"/>
    <w:rsid w:val="00EC7E32"/>
    <w:rsid w:val="00ED0CBE"/>
    <w:rsid w:val="00ED13B5"/>
    <w:rsid w:val="00ED2B85"/>
    <w:rsid w:val="00ED389C"/>
    <w:rsid w:val="00ED39F0"/>
    <w:rsid w:val="00EE1B57"/>
    <w:rsid w:val="00EF04A5"/>
    <w:rsid w:val="00EF4E1D"/>
    <w:rsid w:val="00F00809"/>
    <w:rsid w:val="00F0251E"/>
    <w:rsid w:val="00F07D3D"/>
    <w:rsid w:val="00F1032E"/>
    <w:rsid w:val="00F12235"/>
    <w:rsid w:val="00F227FC"/>
    <w:rsid w:val="00F262C6"/>
    <w:rsid w:val="00F4207A"/>
    <w:rsid w:val="00F43035"/>
    <w:rsid w:val="00F57822"/>
    <w:rsid w:val="00F66D01"/>
    <w:rsid w:val="00F71D6A"/>
    <w:rsid w:val="00F8227D"/>
    <w:rsid w:val="00F877AC"/>
    <w:rsid w:val="00F90E4A"/>
    <w:rsid w:val="00F91FA3"/>
    <w:rsid w:val="00FA0318"/>
    <w:rsid w:val="00FA0EBD"/>
    <w:rsid w:val="00FA12B9"/>
    <w:rsid w:val="00FA4659"/>
    <w:rsid w:val="00FB295A"/>
    <w:rsid w:val="00FC1EB9"/>
    <w:rsid w:val="00FC3629"/>
    <w:rsid w:val="00FE1AB2"/>
    <w:rsid w:val="00FE4A5C"/>
    <w:rsid w:val="00FF062F"/>
    <w:rsid w:val="00FF2956"/>
    <w:rsid w:val="00FF473F"/>
    <w:rsid w:val="02B4A5D8"/>
    <w:rsid w:val="0552453A"/>
    <w:rsid w:val="06C9D9EF"/>
    <w:rsid w:val="088308A5"/>
    <w:rsid w:val="08F3749E"/>
    <w:rsid w:val="09FB6A11"/>
    <w:rsid w:val="0A0EBF70"/>
    <w:rsid w:val="0EEF56D0"/>
    <w:rsid w:val="0FB20335"/>
    <w:rsid w:val="1001525C"/>
    <w:rsid w:val="15648C80"/>
    <w:rsid w:val="15BEB501"/>
    <w:rsid w:val="16D0B3AF"/>
    <w:rsid w:val="178A608A"/>
    <w:rsid w:val="187678DA"/>
    <w:rsid w:val="1A8DB98B"/>
    <w:rsid w:val="1ABA75A3"/>
    <w:rsid w:val="1B6BB502"/>
    <w:rsid w:val="1BBEED5D"/>
    <w:rsid w:val="1F8AEFC8"/>
    <w:rsid w:val="2245F158"/>
    <w:rsid w:val="24B72C76"/>
    <w:rsid w:val="25533AD6"/>
    <w:rsid w:val="2660D058"/>
    <w:rsid w:val="26AD00AC"/>
    <w:rsid w:val="27462C65"/>
    <w:rsid w:val="27B87FCF"/>
    <w:rsid w:val="2AB108AA"/>
    <w:rsid w:val="2AE9E146"/>
    <w:rsid w:val="2CD07A10"/>
    <w:rsid w:val="2E816DB5"/>
    <w:rsid w:val="39210BF6"/>
    <w:rsid w:val="3B567D37"/>
    <w:rsid w:val="4173C6D0"/>
    <w:rsid w:val="43C236B8"/>
    <w:rsid w:val="47E23AB7"/>
    <w:rsid w:val="482F2F65"/>
    <w:rsid w:val="4A3927AC"/>
    <w:rsid w:val="4A96EF63"/>
    <w:rsid w:val="4AF25053"/>
    <w:rsid w:val="4B61C430"/>
    <w:rsid w:val="4DF5565E"/>
    <w:rsid w:val="4EAE431F"/>
    <w:rsid w:val="50B2AB20"/>
    <w:rsid w:val="51E46D37"/>
    <w:rsid w:val="52FB6FF7"/>
    <w:rsid w:val="540E1F33"/>
    <w:rsid w:val="5679F94E"/>
    <w:rsid w:val="56FBB3B1"/>
    <w:rsid w:val="58FEC92E"/>
    <w:rsid w:val="590EDDA3"/>
    <w:rsid w:val="5A3155F8"/>
    <w:rsid w:val="5AA8AA14"/>
    <w:rsid w:val="5BB08773"/>
    <w:rsid w:val="622E5E04"/>
    <w:rsid w:val="62C07B1A"/>
    <w:rsid w:val="647FE671"/>
    <w:rsid w:val="6A968A24"/>
    <w:rsid w:val="6B095208"/>
    <w:rsid w:val="6B55CF50"/>
    <w:rsid w:val="6B768406"/>
    <w:rsid w:val="6D635BD2"/>
    <w:rsid w:val="6D94881F"/>
    <w:rsid w:val="71066ED1"/>
    <w:rsid w:val="74203189"/>
    <w:rsid w:val="74C31A18"/>
    <w:rsid w:val="74F2687E"/>
    <w:rsid w:val="759F541C"/>
    <w:rsid w:val="75C8EA2D"/>
    <w:rsid w:val="78764D84"/>
    <w:rsid w:val="78B63721"/>
    <w:rsid w:val="7CF3CD50"/>
    <w:rsid w:val="7DAA7383"/>
    <w:rsid w:val="7DFC8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9DF2374"/>
  <w15:docId w15:val="{72C68942-5695-4749-81BC-4B9F70FD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20" w:lineRule="exact"/>
    </w:pPr>
    <w:rPr>
      <w:rFonts w:ascii="Arial" w:eastAsia="Arial" w:hAnsi="Arial" w:cs="Arial"/>
    </w:rPr>
  </w:style>
  <w:style w:type="paragraph" w:styleId="Heading1">
    <w:name w:val="heading 1"/>
    <w:basedOn w:val="Normal"/>
    <w:link w:val="Heading1Char"/>
    <w:uiPriority w:val="1"/>
    <w:qFormat/>
    <w:pPr>
      <w:widowControl w:val="0"/>
      <w:autoSpaceDE w:val="0"/>
      <w:autoSpaceDN w:val="0"/>
      <w:spacing w:before="69" w:line="240" w:lineRule="auto"/>
      <w:ind w:left="240"/>
      <w:outlineLvl w:val="0"/>
    </w:pPr>
    <w:rPr>
      <w:rFonts w:asciiTheme="minorHAnsi" w:eastAsiaTheme="minorHAnsi" w:hAnsiTheme="minorHAnsi" w:cstheme="minorBidi"/>
      <w:sz w:val="40"/>
      <w:szCs w:val="40"/>
    </w:rPr>
  </w:style>
  <w:style w:type="paragraph" w:styleId="Heading2">
    <w:name w:val="heading 2"/>
    <w:basedOn w:val="Normal"/>
    <w:link w:val="Heading2Char"/>
    <w:uiPriority w:val="1"/>
    <w:qFormat/>
    <w:pPr>
      <w:widowControl w:val="0"/>
      <w:autoSpaceDE w:val="0"/>
      <w:autoSpaceDN w:val="0"/>
      <w:spacing w:line="407" w:lineRule="exact"/>
      <w:ind w:left="20"/>
      <w:outlineLvl w:val="1"/>
    </w:pPr>
    <w:rPr>
      <w:rFonts w:ascii="Calibri" w:eastAsia="Calibri" w:hAnsi="Calibri" w:cs="Calibri"/>
      <w:b/>
      <w:bCs/>
      <w:sz w:val="38"/>
      <w:szCs w:val="38"/>
    </w:rPr>
  </w:style>
  <w:style w:type="paragraph" w:styleId="Heading3">
    <w:name w:val="heading 3"/>
    <w:basedOn w:val="Normal"/>
    <w:link w:val="Heading3Char"/>
    <w:uiPriority w:val="1"/>
    <w:qFormat/>
    <w:pPr>
      <w:widowControl w:val="0"/>
      <w:autoSpaceDE w:val="0"/>
      <w:autoSpaceDN w:val="0"/>
      <w:spacing w:line="240" w:lineRule="auto"/>
      <w:ind w:left="217"/>
      <w:jc w:val="center"/>
      <w:outlineLvl w:val="2"/>
    </w:pPr>
    <w:rPr>
      <w:rFonts w:ascii="Calibri" w:eastAsia="Calibri" w:hAnsi="Calibri" w:cs="Calibri"/>
      <w:sz w:val="26"/>
      <w:szCs w:val="26"/>
    </w:rPr>
  </w:style>
  <w:style w:type="paragraph" w:styleId="Heading4">
    <w:name w:val="heading 4"/>
    <w:basedOn w:val="Normal"/>
    <w:link w:val="Heading4Char"/>
    <w:uiPriority w:val="1"/>
    <w:qFormat/>
    <w:pPr>
      <w:widowControl w:val="0"/>
      <w:autoSpaceDE w:val="0"/>
      <w:autoSpaceDN w:val="0"/>
      <w:spacing w:before="56" w:line="240" w:lineRule="auto"/>
      <w:ind w:left="240"/>
      <w:outlineLvl w:val="3"/>
    </w:pPr>
    <w:rPr>
      <w:rFonts w:ascii="Calibri" w:eastAsia="Calibri" w:hAnsi="Calibri" w:cs="Calibri"/>
      <w:b/>
      <w:bCs/>
      <w:sz w:val="22"/>
      <w:szCs w:val="22"/>
    </w:rPr>
  </w:style>
  <w:style w:type="paragraph" w:styleId="Heading5">
    <w:name w:val="heading 5"/>
    <w:basedOn w:val="Normal"/>
    <w:link w:val="Heading5Char"/>
    <w:uiPriority w:val="1"/>
    <w:qFormat/>
    <w:pPr>
      <w:widowControl w:val="0"/>
      <w:autoSpaceDE w:val="0"/>
      <w:autoSpaceDN w:val="0"/>
      <w:spacing w:before="131" w:line="240" w:lineRule="auto"/>
      <w:ind w:left="340" w:hanging="240"/>
      <w:outlineLvl w:val="4"/>
    </w:pPr>
    <w:rPr>
      <w:rFonts w:asciiTheme="minorHAnsi" w:eastAsiaTheme="minorHAnsi" w:hAnsiTheme="minorHAnsi" w:cstheme="minorBidi"/>
      <w:sz w:val="22"/>
      <w:szCs w:val="22"/>
    </w:rPr>
  </w:style>
  <w:style w:type="paragraph" w:styleId="Heading6">
    <w:name w:val="heading 6"/>
    <w:basedOn w:val="Normal"/>
    <w:link w:val="Heading6Char"/>
    <w:uiPriority w:val="1"/>
    <w:qFormat/>
    <w:pPr>
      <w:widowControl w:val="0"/>
      <w:autoSpaceDE w:val="0"/>
      <w:autoSpaceDN w:val="0"/>
      <w:spacing w:before="40" w:line="240" w:lineRule="auto"/>
      <w:ind w:left="243"/>
      <w:outlineLvl w:val="5"/>
    </w:pPr>
    <w:rPr>
      <w:rFonts w:ascii="Calibri" w:eastAsia="Calibri" w:hAnsi="Calibri" w:cs="Calibri"/>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Heading"/>
    <w:pPr>
      <w:pBdr>
        <w:bottom w:val="single" w:sz="4" w:space="0" w:color="000000"/>
      </w:pBdr>
      <w:spacing w:line="240" w:lineRule="exact"/>
    </w:pPr>
    <w:rPr>
      <w:rFonts w:ascii="Arial" w:eastAsia="Arial" w:hAnsi="Arial" w:cs="Arial"/>
      <w:sz w:val="24"/>
    </w:rPr>
  </w:style>
  <w:style w:type="paragraph" w:customStyle="1" w:styleId="FontSmall">
    <w:name w:val="FontSmall"/>
    <w:pPr>
      <w:spacing w:after="113" w:line="140" w:lineRule="exact"/>
    </w:pPr>
    <w:rPr>
      <w:rFonts w:ascii="Arial" w:eastAsia="Arial" w:hAnsi="Arial" w:cs="Arial"/>
      <w:sz w:val="14"/>
    </w:rPr>
  </w:style>
  <w:style w:type="paragraph" w:customStyle="1" w:styleId="FontBig">
    <w:name w:val="FontBig"/>
    <w:pPr>
      <w:spacing w:line="200" w:lineRule="exact"/>
    </w:pPr>
    <w:rPr>
      <w:rFonts w:ascii="Arial" w:eastAsia="Arial" w:hAnsi="Arial" w:cs="Arial"/>
      <w:sz w:val="18"/>
    </w:rPr>
  </w:style>
  <w:style w:type="character" w:customStyle="1" w:styleId="DataCaps">
    <w:name w:val="DataCaps"/>
    <w:rPr>
      <w:caps/>
    </w:rPr>
  </w:style>
  <w:style w:type="paragraph" w:customStyle="1" w:styleId="LongFromText">
    <w:name w:val="LongFrom_Text"/>
    <w:pPr>
      <w:spacing w:line="230" w:lineRule="exact"/>
    </w:pPr>
    <w:rPr>
      <w:rFonts w:ascii="Arial" w:eastAsia="Arial" w:hAnsi="Arial" w:cs="Arial"/>
      <w:sz w:val="23"/>
    </w:rPr>
  </w:style>
  <w:style w:type="paragraph" w:customStyle="1" w:styleId="NormalTogether">
    <w:name w:val="Normal_Together"/>
    <w:pPr>
      <w:keepNext/>
      <w:spacing w:line="220" w:lineRule="exact"/>
    </w:pPr>
    <w:rPr>
      <w:rFonts w:ascii="Arial" w:eastAsia="Arial" w:hAnsi="Arial" w:cs="Arial"/>
    </w:rPr>
  </w:style>
  <w:style w:type="paragraph" w:customStyle="1" w:styleId="FontBigSpacing">
    <w:name w:val="FontBig_Spacing"/>
    <w:pPr>
      <w:spacing w:line="240" w:lineRule="exact"/>
    </w:pPr>
    <w:rPr>
      <w:rFonts w:ascii="Arial" w:eastAsia="Arial" w:hAnsi="Arial" w:cs="Arial"/>
      <w:sz w:val="18"/>
    </w:rPr>
  </w:style>
  <w:style w:type="character" w:customStyle="1" w:styleId="KeepTogetherWithinLineInline">
    <w:name w:val="KeepTogetherWithinLine_Inline"/>
    <w:rPr>
      <w:b w:val="0"/>
      <w:i w:val="0"/>
    </w:rPr>
  </w:style>
  <w:style w:type="paragraph" w:customStyle="1" w:styleId="NumberedList">
    <w:name w:val="NumberedList"/>
  </w:style>
  <w:style w:type="character" w:customStyle="1" w:styleId="SubScript">
    <w:name w:val="SubScript"/>
    <w:rPr>
      <w:rFonts w:ascii="Arial" w:eastAsia="Arial" w:hAnsi="Arial" w:cs="Arial"/>
      <w:b w:val="0"/>
      <w:i w:val="0"/>
      <w:sz w:val="16"/>
      <w:vertAlign w:val="subscript"/>
    </w:rPr>
  </w:style>
  <w:style w:type="paragraph" w:customStyle="1" w:styleId="IndentLevel1">
    <w:name w:val="Indent_Level_1"/>
    <w:pPr>
      <w:spacing w:after="220" w:line="220" w:lineRule="exact"/>
      <w:ind w:left="180"/>
    </w:pPr>
    <w:rPr>
      <w:rFonts w:ascii="Arial" w:eastAsia="Arial" w:hAnsi="Arial" w:cs="Arial"/>
      <w:sz w:val="22"/>
    </w:rPr>
  </w:style>
  <w:style w:type="character" w:customStyle="1" w:styleId="SubShift1">
    <w:name w:val="SubShift1"/>
    <w:rPr>
      <w:rFonts w:ascii="Arial" w:eastAsia="Arial" w:hAnsi="Arial" w:cs="Arial"/>
      <w:b w:val="0"/>
      <w:i w:val="0"/>
      <w:sz w:val="16"/>
      <w:vertAlign w:val="subscript"/>
    </w:rPr>
  </w:style>
  <w:style w:type="character" w:customStyle="1" w:styleId="SubShift2">
    <w:name w:val="SubShift2"/>
    <w:rPr>
      <w:rFonts w:ascii="Arial" w:eastAsia="Arial" w:hAnsi="Arial" w:cs="Arial"/>
      <w:b w:val="0"/>
      <w:i w:val="0"/>
      <w:sz w:val="16"/>
      <w:vertAlign w:val="subscript"/>
    </w:rPr>
  </w:style>
  <w:style w:type="character" w:customStyle="1" w:styleId="SuperScript">
    <w:name w:val="SuperScript"/>
    <w:rPr>
      <w:rFonts w:ascii="Arial" w:eastAsia="Arial" w:hAnsi="Arial" w:cs="Arial"/>
      <w:sz w:val="20"/>
      <w:vertAlign w:val="superscript"/>
    </w:rPr>
  </w:style>
  <w:style w:type="paragraph" w:customStyle="1" w:styleId="NumberedListEmphasis">
    <w:name w:val="NumberedList_Emphasis"/>
  </w:style>
  <w:style w:type="paragraph" w:customStyle="1" w:styleId="NormalIndentLevel1">
    <w:name w:val="Normal_Indent_Level_1"/>
    <w:pPr>
      <w:spacing w:line="200" w:lineRule="exact"/>
      <w:ind w:left="360"/>
      <w:jc w:val="both"/>
    </w:pPr>
    <w:rPr>
      <w:rFonts w:ascii="Arial" w:eastAsia="Arial" w:hAnsi="Arial" w:cs="Arial"/>
    </w:rPr>
  </w:style>
  <w:style w:type="paragraph" w:customStyle="1" w:styleId="NormalIndentLevel2">
    <w:name w:val="Normal_Indent_Level_2"/>
    <w:pPr>
      <w:spacing w:line="200" w:lineRule="exact"/>
      <w:ind w:left="1080"/>
      <w:jc w:val="both"/>
    </w:pPr>
    <w:rPr>
      <w:rFonts w:ascii="Arial" w:eastAsia="Arial" w:hAnsi="Arial" w:cs="Arial"/>
    </w:rPr>
  </w:style>
  <w:style w:type="paragraph" w:customStyle="1" w:styleId="NormalIndentLevel3">
    <w:name w:val="Normal_Indent_Level_3"/>
    <w:pPr>
      <w:spacing w:line="200" w:lineRule="exact"/>
      <w:ind w:left="1800"/>
      <w:jc w:val="both"/>
    </w:pPr>
    <w:rPr>
      <w:rFonts w:ascii="Arial" w:eastAsia="Arial" w:hAnsi="Arial" w:cs="Arial"/>
    </w:rPr>
  </w:style>
  <w:style w:type="paragraph" w:customStyle="1" w:styleId="NormalIndentLevel4">
    <w:name w:val="Normal_Indent_Level_4"/>
    <w:pPr>
      <w:spacing w:line="200" w:lineRule="exact"/>
      <w:ind w:left="2520"/>
      <w:jc w:val="both"/>
    </w:pPr>
    <w:rPr>
      <w:rFonts w:ascii="Arial" w:eastAsia="Arial" w:hAnsi="Arial" w:cs="Arial"/>
    </w:rPr>
  </w:style>
  <w:style w:type="paragraph" w:customStyle="1" w:styleId="Image">
    <w:name w:val="Image"/>
    <w:rPr>
      <w:rFonts w:ascii="Arial" w:eastAsia="Arial" w:hAnsi="Arial" w:cs="Arial"/>
    </w:rPr>
  </w:style>
  <w:style w:type="paragraph" w:customStyle="1" w:styleId="BulletedList">
    <w:name w:val="BulletedList"/>
    <w:pPr>
      <w:spacing w:before="120" w:after="160"/>
    </w:pPr>
  </w:style>
  <w:style w:type="character" w:customStyle="1" w:styleId="White">
    <w:name w:val="White"/>
    <w:rPr>
      <w:b w:val="0"/>
      <w:i w:val="0"/>
      <w:color w:val="FFFFFF"/>
    </w:rPr>
  </w:style>
  <w:style w:type="paragraph" w:customStyle="1" w:styleId="TitleHeading">
    <w:name w:val="TitleHeading"/>
    <w:pPr>
      <w:spacing w:line="220" w:lineRule="exact"/>
    </w:pPr>
    <w:rPr>
      <w:rFonts w:ascii="Arial" w:eastAsia="Arial" w:hAnsi="Arial" w:cs="Arial"/>
    </w:rPr>
  </w:style>
  <w:style w:type="paragraph" w:customStyle="1" w:styleId="SubHeading">
    <w:name w:val="SubHeading"/>
    <w:pPr>
      <w:spacing w:line="220" w:lineRule="exact"/>
    </w:pPr>
    <w:rPr>
      <w:rFonts w:ascii="Arial" w:eastAsia="Arial" w:hAnsi="Arial" w:cs="Arial"/>
    </w:rPr>
  </w:style>
  <w:style w:type="character" w:customStyle="1" w:styleId="Red">
    <w:name w:val="Red"/>
    <w:rPr>
      <w:color w:val="FF0000"/>
    </w:rPr>
  </w:style>
  <w:style w:type="paragraph" w:customStyle="1" w:styleId="DocumentHeading">
    <w:name w:val="DocumentHeading"/>
    <w:pPr>
      <w:spacing w:line="320" w:lineRule="exact"/>
    </w:pPr>
    <w:rPr>
      <w:rFonts w:ascii="Arial" w:eastAsia="Arial" w:hAnsi="Arial" w:cs="Arial"/>
      <w:sz w:val="32"/>
    </w:rPr>
  </w:style>
  <w:style w:type="paragraph" w:customStyle="1" w:styleId="TOC-Alignment">
    <w:name w:val="TOC-Alignment"/>
    <w:pPr>
      <w:spacing w:line="200" w:lineRule="exact"/>
    </w:pPr>
    <w:rPr>
      <w:rFonts w:ascii="Arial" w:eastAsia="Arial" w:hAnsi="Arial" w:cs="Arial"/>
      <w:sz w:val="18"/>
    </w:rPr>
  </w:style>
  <w:style w:type="character" w:styleId="Hyperlink">
    <w:name w:val="Hyperlink"/>
    <w:rPr>
      <w:color w:val="0000FF"/>
      <w:u w:val="single"/>
    </w:rPr>
  </w:style>
  <w:style w:type="paragraph" w:customStyle="1" w:styleId="ClauseHeading">
    <w:name w:val="Clause_Heading"/>
    <w:pPr>
      <w:keepNext/>
      <w:spacing w:after="160" w:line="220" w:lineRule="exact"/>
    </w:pPr>
    <w:rPr>
      <w:rFonts w:ascii="Arial" w:eastAsia="Arial" w:hAnsi="Arial" w:cs="Arial"/>
    </w:rPr>
  </w:style>
  <w:style w:type="paragraph" w:customStyle="1" w:styleId="ZeroHeight">
    <w:name w:val="ZeroHeight"/>
    <w:pPr>
      <w:spacing w:line="0" w:lineRule="atLeast"/>
    </w:pPr>
    <w:rPr>
      <w:rFonts w:ascii="Arial" w:eastAsia="Arial" w:hAnsi="Arial" w:cs="Arial"/>
      <w:sz w:val="0"/>
    </w:rPr>
  </w:style>
  <w:style w:type="paragraph" w:customStyle="1" w:styleId="HugeHeading">
    <w:name w:val="HugeHeading"/>
    <w:pPr>
      <w:spacing w:line="420" w:lineRule="exact"/>
    </w:pPr>
    <w:rPr>
      <w:rFonts w:ascii="Arial" w:eastAsia="Arial" w:hAnsi="Arial" w:cs="Arial"/>
      <w:color w:val="0070C0"/>
      <w:sz w:val="42"/>
    </w:rPr>
  </w:style>
  <w:style w:type="paragraph" w:customStyle="1" w:styleId="BulletedListFontBig">
    <w:name w:val="BulletedList_FontBig"/>
    <w:link w:val="BulletedListFontBigChar"/>
    <w:pPr>
      <w:spacing w:before="120" w:after="80"/>
    </w:pPr>
  </w:style>
  <w:style w:type="character" w:customStyle="1" w:styleId="WhiteSpacePreserve">
    <w:name w:val="WhiteSpacePreserve"/>
    <w:rPr>
      <w:b w:val="0"/>
      <w:i w:val="0"/>
    </w:rPr>
  </w:style>
  <w:style w:type="paragraph" w:customStyle="1" w:styleId="NormalWhiteSpacePreserve">
    <w:name w:val="Normal_WhiteSpacePreserve"/>
    <w:pPr>
      <w:spacing w:line="220" w:lineRule="exact"/>
    </w:pPr>
    <w:rPr>
      <w:rFonts w:ascii="Arial" w:eastAsia="Arial" w:hAnsi="Arial" w:cs="Arial"/>
    </w:rPr>
  </w:style>
  <w:style w:type="character" w:customStyle="1" w:styleId="text-inserted">
    <w:name w:val="text-inserted"/>
    <w:rPr>
      <w:b w:val="0"/>
      <w:i w:val="0"/>
      <w:color w:val="FF0000"/>
      <w:u w:val="single"/>
    </w:rPr>
  </w:style>
  <w:style w:type="character" w:customStyle="1" w:styleId="text-deleted">
    <w:name w:val="text-deleted"/>
    <w:rPr>
      <w:b w:val="0"/>
      <w:i w:val="0"/>
      <w:strike/>
      <w:color w:val="FF0000"/>
    </w:rPr>
  </w:style>
  <w:style w:type="paragraph" w:customStyle="1" w:styleId="frag-inserted">
    <w:name w:val="frag-inserted"/>
    <w:pPr>
      <w:pBdr>
        <w:left w:val="single" w:sz="32" w:space="0" w:color="FF0000"/>
      </w:pBdr>
    </w:pPr>
    <w:rPr>
      <w:color w:val="FF0000"/>
      <w:u w:val="single"/>
    </w:rPr>
  </w:style>
  <w:style w:type="paragraph" w:customStyle="1" w:styleId="frag-deleted">
    <w:name w:val="frag-deleted"/>
    <w:pPr>
      <w:pBdr>
        <w:left w:val="dashed" w:sz="32" w:space="0" w:color="FF0000"/>
      </w:pBdr>
    </w:pPr>
    <w:rPr>
      <w:strike/>
      <w:color w:val="FF0000"/>
    </w:rPr>
  </w:style>
  <w:style w:type="character" w:customStyle="1" w:styleId="footnote-reference">
    <w:name w:val="footnote-reference"/>
    <w:rPr>
      <w:b w:val="0"/>
      <w:i w:val="0"/>
      <w:vertAlign w:val="superscript"/>
    </w:rPr>
  </w:style>
  <w:style w:type="paragraph" w:customStyle="1" w:styleId="footnote-list">
    <w:name w:val="footnote-list"/>
  </w:style>
  <w:style w:type="paragraph" w:customStyle="1" w:styleId="footnote-list-body">
    <w:name w:val="footnote-list-body"/>
  </w:style>
  <w:style w:type="character" w:customStyle="1" w:styleId="footnote-list-label">
    <w:name w:val="footnote-list-label"/>
    <w:rPr>
      <w:b w:val="0"/>
      <w:i w:val="0"/>
      <w:vertAlign w:val="superscript"/>
    </w:rPr>
  </w:style>
  <w:style w:type="paragraph" w:customStyle="1" w:styleId="BulletedListFontBigListBodyFontBig">
    <w:name w:val="BulletedList_FontBigListBody_FontBig"/>
    <w:basedOn w:val="BulletedListFontBig"/>
    <w:link w:val="BulletedListFontBigListBodyFontBigChar"/>
    <w:pPr>
      <w:spacing w:line="200" w:lineRule="exact"/>
    </w:pPr>
    <w:rPr>
      <w:rFonts w:ascii="Arial" w:eastAsia="Arial" w:hAnsi="Arial" w:cs="Arial"/>
      <w:sz w:val="18"/>
    </w:rPr>
  </w:style>
  <w:style w:type="paragraph" w:customStyle="1" w:styleId="BulletedListListBody">
    <w:name w:val="BulletedListListBody"/>
    <w:basedOn w:val="BulletedList"/>
    <w:pPr>
      <w:spacing w:line="220" w:lineRule="exact"/>
    </w:pPr>
    <w:rPr>
      <w:rFonts w:ascii="Arial" w:eastAsia="Arial" w:hAnsi="Arial" w:cs="Arial"/>
    </w:rPr>
  </w:style>
  <w:style w:type="paragraph" w:customStyle="1" w:styleId="BulletedListFontBigListBodyFontBigListItem">
    <w:name w:val="BulletedList_FontBigListBody_FontBigListItem"/>
    <w:basedOn w:val="BulletedListFontBigListBodyFontBig"/>
    <w:link w:val="BulletedListFontBigListBodyFontBigListItemChar"/>
  </w:style>
  <w:style w:type="paragraph" w:customStyle="1" w:styleId="BulletedListListBodyListItem">
    <w:name w:val="BulletedListListBodyListItem"/>
    <w:basedOn w:val="BulletedListListBody"/>
    <w:pPr>
      <w:spacing w:after="80"/>
    </w:pPr>
  </w:style>
  <w:style w:type="paragraph" w:styleId="Revision">
    <w:name w:val="Revision"/>
    <w:hidden/>
    <w:uiPriority w:val="99"/>
    <w:semiHidden/>
    <w:rPr>
      <w:rFonts w:ascii="Arial" w:eastAsia="Arial" w:hAnsi="Arial" w:cs="Aria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Arial" w:eastAsia="Arial" w:hAnsi="Arial" w:cs="Aria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eastAsia="Arial" w:hAnsi="Arial" w:cs="Arial"/>
      <w:b/>
      <w:bCs/>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eastAsia="Arial" w:hAnsi="Arial" w:cs="Arial"/>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eastAsia="Arial" w:hAnsi="Arial" w:cs="Arial"/>
    </w:rPr>
  </w:style>
  <w:style w:type="character" w:customStyle="1" w:styleId="normaltextrun">
    <w:name w:val="normaltextrun"/>
    <w:basedOn w:val="DefaultParagraphFont"/>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GSBulletList">
    <w:name w:val="GS Bullet List"/>
    <w:basedOn w:val="BulletedListFontBigListBodyFontBigListItem"/>
    <w:link w:val="GSBulletListChar"/>
    <w:qFormat/>
    <w:pPr>
      <w:numPr>
        <w:numId w:val="1"/>
      </w:numPr>
      <w:jc w:val="both"/>
    </w:pPr>
    <w:rPr>
      <w:sz w:val="20"/>
    </w:rPr>
  </w:style>
  <w:style w:type="character" w:customStyle="1" w:styleId="BulletedListFontBigChar">
    <w:name w:val="BulletedList_FontBig Char"/>
    <w:basedOn w:val="DefaultParagraphFont"/>
    <w:link w:val="BulletedListFontBig"/>
  </w:style>
  <w:style w:type="character" w:customStyle="1" w:styleId="BulletedListFontBigListBodyFontBigChar">
    <w:name w:val="BulletedList_FontBigListBody_FontBig Char"/>
    <w:basedOn w:val="BulletedListFontBigChar"/>
    <w:link w:val="BulletedListFontBigListBodyFontBig"/>
    <w:rPr>
      <w:rFonts w:ascii="Arial" w:eastAsia="Arial" w:hAnsi="Arial" w:cs="Arial"/>
      <w:sz w:val="18"/>
    </w:rPr>
  </w:style>
  <w:style w:type="character" w:customStyle="1" w:styleId="BulletedListFontBigListBodyFontBigListItemChar">
    <w:name w:val="BulletedList_FontBigListBody_FontBigListItem Char"/>
    <w:basedOn w:val="BulletedListFontBigListBodyFontBigChar"/>
    <w:link w:val="BulletedListFontBigListBodyFontBigListItem"/>
    <w:rPr>
      <w:rFonts w:ascii="Arial" w:eastAsia="Arial" w:hAnsi="Arial" w:cs="Arial"/>
      <w:sz w:val="18"/>
    </w:rPr>
  </w:style>
  <w:style w:type="character" w:customStyle="1" w:styleId="GSBulletListChar">
    <w:name w:val="GS Bullet List Char"/>
    <w:basedOn w:val="BulletedListFontBigListBodyFontBigListItemChar"/>
    <w:link w:val="GSBulletList"/>
    <w:rPr>
      <w:rFonts w:ascii="Arial" w:eastAsia="Arial" w:hAnsi="Arial" w:cs="Arial"/>
      <w:sz w:val="18"/>
    </w:rPr>
  </w:style>
  <w:style w:type="paragraph" w:customStyle="1" w:styleId="GSBody">
    <w:name w:val="GSBody"/>
    <w:basedOn w:val="Normal"/>
    <w:link w:val="GSBodyChar"/>
    <w:qFormat/>
  </w:style>
  <w:style w:type="character" w:customStyle="1" w:styleId="GSBodyChar">
    <w:name w:val="GSBody Char"/>
    <w:basedOn w:val="DefaultParagraphFont"/>
    <w:link w:val="GSBody"/>
    <w:rPr>
      <w:rFonts w:ascii="Arial" w:eastAsia="Arial" w:hAnsi="Arial" w:cs="Arial"/>
    </w:rPr>
  </w:style>
  <w:style w:type="paragraph" w:customStyle="1" w:styleId="GSPara">
    <w:name w:val="GSPara"/>
    <w:basedOn w:val="Normal"/>
    <w:link w:val="GSParaChar"/>
    <w:qFormat/>
    <w:pPr>
      <w:spacing w:after="240"/>
    </w:pPr>
    <w:rPr>
      <w:sz w:val="18"/>
      <w:szCs w:val="18"/>
    </w:rPr>
  </w:style>
  <w:style w:type="character" w:customStyle="1" w:styleId="GSParaChar">
    <w:name w:val="GSPara Char"/>
    <w:basedOn w:val="DefaultParagraphFont"/>
    <w:link w:val="GSPara"/>
    <w:rPr>
      <w:rFonts w:ascii="Arial" w:eastAsia="Arial" w:hAnsi="Arial" w:cs="Arial"/>
      <w:sz w:val="18"/>
      <w:szCs w:val="18"/>
    </w:rPr>
  </w:style>
  <w:style w:type="paragraph" w:customStyle="1" w:styleId="BofaBody">
    <w:name w:val="BofaBody"/>
    <w:link w:val="BofaBodyChar"/>
    <w:uiPriority w:val="1"/>
    <w:qFormat/>
    <w:pPr>
      <w:widowControl w:val="0"/>
      <w:autoSpaceDE w:val="0"/>
      <w:autoSpaceDN w:val="0"/>
      <w:spacing w:before="100" w:after="100"/>
    </w:pPr>
    <w:rPr>
      <w:rFonts w:ascii="Helvetica" w:eastAsia="Helvetica" w:hAnsi="Helvetica" w:cs="Calibri"/>
      <w:noProof/>
      <w:sz w:val="16"/>
      <w:szCs w:val="24"/>
    </w:rPr>
  </w:style>
  <w:style w:type="character" w:customStyle="1" w:styleId="BofaBodyChar">
    <w:name w:val="BofaBody Char"/>
    <w:basedOn w:val="DefaultParagraphFont"/>
    <w:link w:val="BofaBody"/>
    <w:uiPriority w:val="1"/>
    <w:rPr>
      <w:rFonts w:ascii="Helvetica" w:eastAsia="Helvetica" w:hAnsi="Helvetica" w:cs="Calibri"/>
      <w:noProof/>
      <w:sz w:val="16"/>
      <w:szCs w:val="24"/>
    </w:rPr>
  </w:style>
  <w:style w:type="paragraph" w:customStyle="1" w:styleId="BofaBullet">
    <w:name w:val="BofaBullet"/>
    <w:basedOn w:val="ListParagraph"/>
    <w:uiPriority w:val="1"/>
    <w:qFormat/>
    <w:pPr>
      <w:widowControl w:val="0"/>
      <w:numPr>
        <w:numId w:val="26"/>
      </w:numPr>
      <w:autoSpaceDE w:val="0"/>
      <w:autoSpaceDN w:val="0"/>
      <w:ind w:right="561"/>
      <w:contextualSpacing w:val="0"/>
    </w:pPr>
    <w:rPr>
      <w:rFonts w:ascii="Helvetica" w:eastAsiaTheme="minorHAnsi" w:hAnsi="Helvetica" w:cs="Helvetica"/>
      <w:color w:val="58595B"/>
      <w:sz w:val="18"/>
      <w:szCs w:val="18"/>
    </w:rPr>
  </w:style>
  <w:style w:type="paragraph" w:customStyle="1" w:styleId="BofaGraph">
    <w:name w:val="BofaGraph"/>
    <w:basedOn w:val="FontBig"/>
    <w:link w:val="BofaGraphChar"/>
    <w:uiPriority w:val="1"/>
    <w:qFormat/>
    <w:pPr>
      <w:spacing w:line="220" w:lineRule="exact"/>
      <w:jc w:val="center"/>
    </w:pPr>
    <w:rPr>
      <w:rFonts w:ascii="Helvetica" w:eastAsia="Helvetica" w:hAnsi="Helvetica" w:cs="Helvetica"/>
      <w:b/>
      <w:bCs/>
      <w:color w:val="59595B"/>
      <w:sz w:val="16"/>
    </w:rPr>
  </w:style>
  <w:style w:type="character" w:customStyle="1" w:styleId="BofaGraphChar">
    <w:name w:val="BofaGraph Char"/>
    <w:basedOn w:val="DefaultParagraphFont"/>
    <w:link w:val="BofaGraph"/>
    <w:uiPriority w:val="1"/>
    <w:rPr>
      <w:rFonts w:ascii="Helvetica" w:eastAsia="Helvetica" w:hAnsi="Helvetica" w:cs="Helvetica"/>
      <w:b/>
      <w:bCs/>
      <w:color w:val="59595B"/>
      <w:sz w:val="16"/>
    </w:rPr>
  </w:style>
  <w:style w:type="paragraph" w:customStyle="1" w:styleId="BofaHeading">
    <w:name w:val="BofaHeading"/>
    <w:basedOn w:val="Normal"/>
    <w:uiPriority w:val="1"/>
    <w:qFormat/>
    <w:pPr>
      <w:pageBreakBefore/>
      <w:widowControl w:val="0"/>
      <w:autoSpaceDE w:val="0"/>
      <w:autoSpaceDN w:val="0"/>
      <w:spacing w:after="200" w:line="240" w:lineRule="auto"/>
    </w:pPr>
    <w:rPr>
      <w:rFonts w:ascii="Helvetica" w:eastAsiaTheme="minorHAnsi" w:hAnsi="Helvetica" w:cstheme="minorBidi"/>
      <w:sz w:val="34"/>
      <w:szCs w:val="22"/>
    </w:rPr>
  </w:style>
  <w:style w:type="paragraph" w:customStyle="1" w:styleId="BofaHypo">
    <w:name w:val="BofaHypo"/>
    <w:basedOn w:val="Normal"/>
    <w:link w:val="BofaHypoChar"/>
    <w:uiPriority w:val="1"/>
    <w:qFormat/>
    <w:pPr>
      <w:widowControl w:val="0"/>
      <w:autoSpaceDE w:val="0"/>
      <w:autoSpaceDN w:val="0"/>
      <w:adjustRightInd w:val="0"/>
      <w:ind w:left="720"/>
    </w:pPr>
    <w:rPr>
      <w:rFonts w:asciiTheme="minorHAnsi" w:eastAsia="Times New Roman" w:hAnsiTheme="minorHAnsi" w:cs="Times New Roman"/>
      <w:color w:val="59595B"/>
      <w:sz w:val="16"/>
      <w:szCs w:val="24"/>
      <w:u w:color="000000"/>
      <w:shd w:val="clear" w:color="auto" w:fill="FFFFFF"/>
    </w:rPr>
  </w:style>
  <w:style w:type="character" w:customStyle="1" w:styleId="BofaHypoChar">
    <w:name w:val="BofaHypo Char"/>
    <w:basedOn w:val="DefaultParagraphFont"/>
    <w:link w:val="BofaHypo"/>
    <w:uiPriority w:val="1"/>
    <w:rPr>
      <w:rFonts w:asciiTheme="minorHAnsi" w:hAnsiTheme="minorHAnsi"/>
      <w:color w:val="59595B"/>
      <w:sz w:val="16"/>
      <w:szCs w:val="24"/>
      <w:u w:color="000000"/>
    </w:rPr>
  </w:style>
  <w:style w:type="paragraph" w:customStyle="1" w:styleId="BofaLetterBullet">
    <w:name w:val="BofaLetterBullet"/>
    <w:basedOn w:val="BofaBullet"/>
    <w:uiPriority w:val="1"/>
    <w:qFormat/>
    <w:pPr>
      <w:numPr>
        <w:numId w:val="32"/>
      </w:numPr>
    </w:pPr>
  </w:style>
  <w:style w:type="paragraph" w:customStyle="1" w:styleId="BofaLowercaseLetterBullet">
    <w:name w:val="BofaLowercaseLetterBullet"/>
    <w:basedOn w:val="BofaBullet"/>
    <w:uiPriority w:val="1"/>
    <w:qFormat/>
    <w:pPr>
      <w:numPr>
        <w:numId w:val="33"/>
      </w:numPr>
    </w:pPr>
  </w:style>
  <w:style w:type="paragraph" w:customStyle="1" w:styleId="BofaNumbered">
    <w:name w:val="BofaNumbered"/>
    <w:basedOn w:val="FontBig"/>
    <w:next w:val="Normal"/>
    <w:uiPriority w:val="1"/>
    <w:qFormat/>
    <w:pPr>
      <w:spacing w:before="160" w:after="160" w:line="220" w:lineRule="exact"/>
      <w:jc w:val="center"/>
    </w:pPr>
    <w:rPr>
      <w:rFonts w:ascii="Helvetica" w:eastAsia="Helvetica" w:hAnsi="Helvetica" w:cs="Helvetica"/>
      <w:color w:val="59595B"/>
      <w:sz w:val="16"/>
    </w:rPr>
  </w:style>
  <w:style w:type="paragraph" w:customStyle="1" w:styleId="BofaNumberedBullet">
    <w:name w:val="BofaNumberedBullet"/>
    <w:basedOn w:val="BofaBullet"/>
    <w:uiPriority w:val="1"/>
    <w:qFormat/>
    <w:pPr>
      <w:numPr>
        <w:numId w:val="34"/>
      </w:numPr>
    </w:pPr>
  </w:style>
  <w:style w:type="paragraph" w:customStyle="1" w:styleId="BofaPara">
    <w:name w:val="BofaPara"/>
    <w:basedOn w:val="Normal"/>
    <w:link w:val="BofaParaChar"/>
    <w:uiPriority w:val="1"/>
    <w:qFormat/>
    <w:pPr>
      <w:widowControl w:val="0"/>
      <w:autoSpaceDE w:val="0"/>
      <w:autoSpaceDN w:val="0"/>
      <w:spacing w:before="160" w:after="160" w:line="240" w:lineRule="exact"/>
    </w:pPr>
    <w:rPr>
      <w:rFonts w:eastAsiaTheme="minorHAnsi" w:cstheme="minorBidi"/>
      <w:szCs w:val="22"/>
    </w:rPr>
  </w:style>
  <w:style w:type="character" w:customStyle="1" w:styleId="BofaParaChar">
    <w:name w:val="BofaPara Char"/>
    <w:basedOn w:val="DefaultParagraphFont"/>
    <w:link w:val="BofaPara"/>
    <w:uiPriority w:val="1"/>
    <w:rPr>
      <w:rFonts w:ascii="Arial" w:eastAsiaTheme="minorHAnsi" w:hAnsi="Arial" w:cstheme="minorBidi"/>
      <w:szCs w:val="22"/>
    </w:rPr>
  </w:style>
  <w:style w:type="paragraph" w:customStyle="1" w:styleId="BofaParaNoSpacing">
    <w:name w:val="BofaParaNoSpacing"/>
    <w:basedOn w:val="BofaPara"/>
    <w:link w:val="BofaParaNoSpacingChar"/>
    <w:uiPriority w:val="1"/>
    <w:qFormat/>
    <w:pPr>
      <w:spacing w:before="0" w:after="0"/>
    </w:pPr>
  </w:style>
  <w:style w:type="character" w:customStyle="1" w:styleId="BofaParaNoSpacingChar">
    <w:name w:val="BofaParaNoSpacing Char"/>
    <w:basedOn w:val="BofaParaChar"/>
    <w:link w:val="BofaParaNoSpacing"/>
    <w:uiPriority w:val="1"/>
    <w:rPr>
      <w:rFonts w:ascii="Arial" w:eastAsiaTheme="minorHAnsi" w:hAnsi="Arial" w:cstheme="minorBidi"/>
      <w:szCs w:val="22"/>
    </w:rPr>
  </w:style>
  <w:style w:type="paragraph" w:customStyle="1" w:styleId="BofaTaxBullet">
    <w:name w:val="BofaTaxBullet"/>
    <w:basedOn w:val="Normal"/>
    <w:link w:val="BofaTaxBulletChar"/>
    <w:uiPriority w:val="1"/>
    <w:qFormat/>
    <w:pPr>
      <w:numPr>
        <w:numId w:val="35"/>
      </w:numPr>
      <w:spacing w:after="60" w:line="200" w:lineRule="exact"/>
      <w:jc w:val="both"/>
    </w:pPr>
    <w:rPr>
      <w:rFonts w:ascii="Helvetica" w:eastAsia="Helvetica" w:hAnsi="Helvetica" w:cs="Helvetica"/>
      <w:color w:val="58595B"/>
      <w:sz w:val="16"/>
    </w:rPr>
  </w:style>
  <w:style w:type="character" w:customStyle="1" w:styleId="BofaTaxBulletChar">
    <w:name w:val="BofaTaxBullet Char"/>
    <w:basedOn w:val="DefaultParagraphFont"/>
    <w:link w:val="BofaTaxBullet"/>
    <w:uiPriority w:val="1"/>
    <w:rPr>
      <w:rFonts w:ascii="Helvetica" w:eastAsia="Helvetica" w:hAnsi="Helvetica" w:cs="Helvetica"/>
      <w:color w:val="58595B"/>
      <w:sz w:val="16"/>
    </w:rPr>
  </w:style>
  <w:style w:type="paragraph" w:customStyle="1" w:styleId="BofaUnderlyingsRomanList">
    <w:name w:val="BofaUnderlyingsRomanList"/>
    <w:basedOn w:val="BofaPara"/>
    <w:link w:val="BofaUnderlyingsRomanListChar"/>
    <w:uiPriority w:val="1"/>
    <w:qFormat/>
    <w:pPr>
      <w:numPr>
        <w:numId w:val="36"/>
      </w:numPr>
    </w:pPr>
  </w:style>
  <w:style w:type="character" w:customStyle="1" w:styleId="BofaUnderlyingsRomanListChar">
    <w:name w:val="BofaUnderlyingsRomanList Char"/>
    <w:basedOn w:val="BofaParaChar"/>
    <w:link w:val="BofaUnderlyingsRomanList"/>
    <w:uiPriority w:val="1"/>
    <w:rPr>
      <w:rFonts w:ascii="Arial" w:eastAsiaTheme="minorHAnsi" w:hAnsi="Arial" w:cstheme="minorBidi"/>
      <w:szCs w:val="22"/>
    </w:rPr>
  </w:style>
  <w:style w:type="paragraph" w:customStyle="1" w:styleId="UnderlyingHeader">
    <w:name w:val="Underlying Header"/>
    <w:basedOn w:val="Normal"/>
    <w:link w:val="UnderlyingHeaderChar"/>
    <w:uiPriority w:val="1"/>
    <w:qFormat/>
    <w:pPr>
      <w:keepNext/>
      <w:widowControl w:val="0"/>
      <w:autoSpaceDE w:val="0"/>
      <w:autoSpaceDN w:val="0"/>
      <w:spacing w:before="200" w:after="200" w:line="240" w:lineRule="auto"/>
    </w:pPr>
    <w:rPr>
      <w:rFonts w:eastAsia="Helvetica" w:cstheme="minorBidi"/>
      <w:b/>
      <w:szCs w:val="22"/>
    </w:rPr>
  </w:style>
  <w:style w:type="character" w:customStyle="1" w:styleId="UnderlyingHeaderChar">
    <w:name w:val="Underlying Header Char"/>
    <w:basedOn w:val="DefaultParagraphFont"/>
    <w:link w:val="UnderlyingHeader"/>
    <w:uiPriority w:val="1"/>
    <w:rPr>
      <w:rFonts w:ascii="Arial" w:eastAsia="Helvetica" w:hAnsi="Arial" w:cstheme="minorBidi"/>
      <w:b/>
      <w:szCs w:val="22"/>
    </w:rPr>
  </w:style>
  <w:style w:type="character" w:customStyle="1" w:styleId="Heading1Char">
    <w:name w:val="Heading 1 Char"/>
    <w:basedOn w:val="DefaultParagraphFont"/>
    <w:link w:val="Heading1"/>
    <w:uiPriority w:val="1"/>
    <w:rPr>
      <w:rFonts w:asciiTheme="minorHAnsi" w:eastAsiaTheme="minorHAnsi" w:hAnsiTheme="minorHAnsi" w:cstheme="minorBidi"/>
      <w:sz w:val="40"/>
      <w:szCs w:val="40"/>
    </w:rPr>
  </w:style>
  <w:style w:type="character" w:customStyle="1" w:styleId="Heading2Char">
    <w:name w:val="Heading 2 Char"/>
    <w:basedOn w:val="DefaultParagraphFont"/>
    <w:link w:val="Heading2"/>
    <w:uiPriority w:val="1"/>
    <w:rPr>
      <w:rFonts w:ascii="Calibri" w:eastAsia="Calibri" w:hAnsi="Calibri" w:cs="Calibri"/>
      <w:b/>
      <w:bCs/>
      <w:sz w:val="38"/>
      <w:szCs w:val="38"/>
    </w:rPr>
  </w:style>
  <w:style w:type="character" w:customStyle="1" w:styleId="Heading3Char">
    <w:name w:val="Heading 3 Char"/>
    <w:basedOn w:val="DefaultParagraphFont"/>
    <w:link w:val="Heading3"/>
    <w:uiPriority w:val="1"/>
    <w:rPr>
      <w:rFonts w:ascii="Calibri" w:eastAsia="Calibri" w:hAnsi="Calibri" w:cs="Calibri"/>
      <w:sz w:val="26"/>
      <w:szCs w:val="26"/>
    </w:rPr>
  </w:style>
  <w:style w:type="character" w:customStyle="1" w:styleId="Heading4Char">
    <w:name w:val="Heading 4 Char"/>
    <w:basedOn w:val="DefaultParagraphFont"/>
    <w:link w:val="Heading4"/>
    <w:uiPriority w:val="1"/>
    <w:rPr>
      <w:rFonts w:ascii="Calibri" w:eastAsia="Calibri" w:hAnsi="Calibri" w:cs="Calibri"/>
      <w:b/>
      <w:bCs/>
      <w:sz w:val="22"/>
      <w:szCs w:val="22"/>
    </w:rPr>
  </w:style>
  <w:style w:type="character" w:customStyle="1" w:styleId="Heading5Char">
    <w:name w:val="Heading 5 Char"/>
    <w:basedOn w:val="DefaultParagraphFont"/>
    <w:link w:val="Heading5"/>
    <w:uiPriority w:val="1"/>
    <w:rPr>
      <w:rFonts w:asciiTheme="minorHAnsi" w:eastAsiaTheme="minorHAnsi" w:hAnsiTheme="minorHAnsi" w:cstheme="minorBidi"/>
      <w:sz w:val="22"/>
      <w:szCs w:val="22"/>
    </w:rPr>
  </w:style>
  <w:style w:type="character" w:customStyle="1" w:styleId="Heading6Char">
    <w:name w:val="Heading 6 Char"/>
    <w:basedOn w:val="DefaultParagraphFont"/>
    <w:link w:val="Heading6"/>
    <w:uiPriority w:val="1"/>
    <w:rPr>
      <w:rFonts w:ascii="Calibri" w:eastAsia="Calibri" w:hAnsi="Calibri" w:cs="Calibri"/>
      <w:b/>
      <w:bCs/>
      <w:sz w:val="21"/>
      <w:szCs w:val="21"/>
    </w:rPr>
  </w:style>
  <w:style w:type="paragraph" w:styleId="BalloonText">
    <w:name w:val="Balloon Text"/>
    <w:basedOn w:val="Normal"/>
    <w:link w:val="BalloonTextChar"/>
    <w:uiPriority w:val="99"/>
    <w:semiHidden/>
    <w:unhideWhenUsed/>
    <w:pPr>
      <w:widowControl w:val="0"/>
      <w:autoSpaceDE w:val="0"/>
      <w:autoSpaceDN w:val="0"/>
      <w:spacing w:line="240" w:lineRule="auto"/>
    </w:pPr>
    <w:rPr>
      <w:rFonts w:eastAsiaTheme="minorHAnsi"/>
      <w:sz w:val="18"/>
      <w:szCs w:val="18"/>
    </w:rPr>
  </w:style>
  <w:style w:type="character" w:customStyle="1" w:styleId="BalloonTextChar">
    <w:name w:val="Balloon Text Char"/>
    <w:basedOn w:val="DefaultParagraphFont"/>
    <w:link w:val="BalloonText"/>
    <w:uiPriority w:val="99"/>
    <w:semiHidden/>
    <w:rPr>
      <w:rFonts w:ascii="Arial" w:eastAsiaTheme="minorHAnsi" w:hAnsi="Arial" w:cs="Arial"/>
      <w:sz w:val="18"/>
      <w:szCs w:val="18"/>
    </w:rPr>
  </w:style>
  <w:style w:type="character" w:customStyle="1" w:styleId="Black">
    <w:name w:val="Black"/>
    <w:rPr>
      <w:color w:val="000000"/>
    </w:rPr>
  </w:style>
  <w:style w:type="paragraph" w:styleId="BodyText">
    <w:name w:val="Body Text"/>
    <w:basedOn w:val="Normal"/>
    <w:link w:val="BodyTextChar"/>
    <w:uiPriority w:val="1"/>
    <w:qFormat/>
    <w:pPr>
      <w:widowControl w:val="0"/>
      <w:autoSpaceDE w:val="0"/>
      <w:autoSpaceDN w:val="0"/>
      <w:spacing w:line="240" w:lineRule="auto"/>
    </w:pPr>
    <w:rPr>
      <w:rFonts w:asciiTheme="minorHAnsi" w:eastAsiaTheme="minorHAnsi" w:hAnsiTheme="minorHAnsi" w:cstheme="minorBidi"/>
      <w:sz w:val="18"/>
      <w:szCs w:val="18"/>
    </w:rPr>
  </w:style>
  <w:style w:type="character" w:customStyle="1" w:styleId="BodyTextChar">
    <w:name w:val="Body Text Char"/>
    <w:basedOn w:val="DefaultParagraphFont"/>
    <w:link w:val="BodyText"/>
    <w:uiPriority w:val="1"/>
    <w:rPr>
      <w:rFonts w:asciiTheme="minorHAnsi" w:eastAsiaTheme="minorHAnsi" w:hAnsiTheme="minorHAnsi" w:cstheme="minorBidi"/>
      <w:sz w:val="18"/>
      <w:szCs w:val="18"/>
    </w:rPr>
  </w:style>
  <w:style w:type="paragraph" w:customStyle="1" w:styleId="NumberedListListBodyGreyListItem">
    <w:name w:val="NumberedListListBody_GreyListItem"/>
    <w:basedOn w:val="Normal"/>
    <w:link w:val="NumberedListListBodyGreyListItemChar"/>
    <w:pPr>
      <w:spacing w:after="60" w:line="200" w:lineRule="exact"/>
      <w:jc w:val="both"/>
    </w:pPr>
    <w:rPr>
      <w:rFonts w:ascii="Helvetica" w:eastAsia="Helvetica" w:hAnsi="Helvetica" w:cs="Helvetica"/>
      <w:color w:val="58595B"/>
      <w:sz w:val="16"/>
    </w:rPr>
  </w:style>
  <w:style w:type="character" w:customStyle="1" w:styleId="NumberedListListBodyGreyListItemChar">
    <w:name w:val="NumberedListListBody_GreyListItem Char"/>
    <w:basedOn w:val="DefaultParagraphFont"/>
    <w:link w:val="NumberedListListBodyGreyListItem"/>
    <w:rPr>
      <w:rFonts w:ascii="Helvetica" w:eastAsia="Helvetica" w:hAnsi="Helvetica" w:cs="Helvetica"/>
      <w:color w:val="58595B"/>
      <w:sz w:val="16"/>
    </w:rPr>
  </w:style>
  <w:style w:type="paragraph" w:customStyle="1" w:styleId="BulletedListBlueNoJustifyListBodyGrey2ListItem">
    <w:name w:val="BulletedListBlue_NoJustifyListBody_Grey_2ListItem"/>
    <w:basedOn w:val="Normal"/>
    <w:pPr>
      <w:spacing w:after="60" w:line="200" w:lineRule="exact"/>
    </w:pPr>
    <w:rPr>
      <w:rFonts w:ascii="Helvetica" w:eastAsia="Helvetica" w:hAnsi="Helvetica" w:cs="Helvetica"/>
      <w:color w:val="58595B"/>
      <w:sz w:val="16"/>
    </w:rPr>
  </w:style>
  <w:style w:type="paragraph" w:customStyle="1" w:styleId="BulletedListBlueLeftPadNoJustifyListBodyBlackListItem">
    <w:name w:val="BulletedListBlueLeftPadNoJustifyListBody_BlackListItem"/>
    <w:basedOn w:val="Normal"/>
    <w:pPr>
      <w:spacing w:before="200" w:after="60" w:line="200" w:lineRule="exact"/>
    </w:pPr>
    <w:rPr>
      <w:rFonts w:ascii="Helvetica" w:eastAsia="Helvetica" w:hAnsi="Helvetica" w:cs="Helvetica"/>
      <w:sz w:val="16"/>
    </w:rPr>
  </w:style>
  <w:style w:type="paragraph" w:customStyle="1" w:styleId="FontBodyRegularNoJustify">
    <w:name w:val="FontBodyRegularNoJustify"/>
    <w:link w:val="FontBodyRegularNoJustifyChar"/>
    <w:pPr>
      <w:spacing w:line="220" w:lineRule="exact"/>
    </w:pPr>
    <w:rPr>
      <w:rFonts w:ascii="Helvetica" w:eastAsia="Helvetica" w:hAnsi="Helvetica" w:cs="Helvetica"/>
      <w:color w:val="59595B"/>
      <w:sz w:val="16"/>
    </w:rPr>
  </w:style>
  <w:style w:type="character" w:customStyle="1" w:styleId="FontBodyRegularNoJustifyChar">
    <w:name w:val="FontBodyRegularNoJustify Char"/>
    <w:basedOn w:val="DefaultParagraphFont"/>
    <w:link w:val="FontBodyRegularNoJustify"/>
    <w:rPr>
      <w:rFonts w:ascii="Helvetica" w:eastAsia="Helvetica" w:hAnsi="Helvetica" w:cs="Helvetica"/>
      <w:color w:val="59595B"/>
      <w:sz w:val="16"/>
    </w:rPr>
  </w:style>
  <w:style w:type="paragraph" w:customStyle="1" w:styleId="CoverPage-BoldItalic">
    <w:name w:val="Cover Page - Bold Italic"/>
    <w:basedOn w:val="FontBodyRegularNoJustify"/>
    <w:link w:val="CoverPage-BoldItalicChar"/>
    <w:uiPriority w:val="1"/>
    <w:qFormat/>
    <w:pPr>
      <w:jc w:val="both"/>
    </w:pPr>
    <w:rPr>
      <w:b/>
      <w:bCs/>
      <w:i/>
      <w:iCs/>
    </w:rPr>
  </w:style>
  <w:style w:type="character" w:customStyle="1" w:styleId="CoverPage-BoldItalicChar">
    <w:name w:val="Cover Page - Bold Italic Char"/>
    <w:basedOn w:val="FontBodyRegularNoJustifyChar"/>
    <w:link w:val="CoverPage-BoldItalic"/>
    <w:uiPriority w:val="1"/>
    <w:rPr>
      <w:rFonts w:ascii="Helvetica" w:eastAsia="Helvetica" w:hAnsi="Helvetica" w:cs="Helvetica"/>
      <w:b/>
      <w:bCs/>
      <w:i/>
      <w:iCs/>
      <w:color w:val="59595B"/>
      <w:sz w:val="16"/>
    </w:rPr>
  </w:style>
  <w:style w:type="numbering" w:customStyle="1" w:styleId="CurrentList1">
    <w:name w:val="Current List1"/>
    <w:uiPriority w:val="99"/>
    <w:pPr>
      <w:numPr>
        <w:numId w:val="37"/>
      </w:numPr>
    </w:pPr>
  </w:style>
  <w:style w:type="numbering" w:customStyle="1" w:styleId="CurrentList2">
    <w:name w:val="Current List2"/>
    <w:uiPriority w:val="99"/>
    <w:pPr>
      <w:numPr>
        <w:numId w:val="38"/>
      </w:numPr>
    </w:pPr>
  </w:style>
  <w:style w:type="numbering" w:customStyle="1" w:styleId="CurrentList3">
    <w:name w:val="Current List3"/>
    <w:uiPriority w:val="99"/>
    <w:pPr>
      <w:numPr>
        <w:numId w:val="39"/>
      </w:numPr>
    </w:pPr>
  </w:style>
  <w:style w:type="numbering" w:customStyle="1" w:styleId="CurrentList4">
    <w:name w:val="Current List4"/>
    <w:uiPriority w:val="99"/>
    <w:pPr>
      <w:numPr>
        <w:numId w:val="40"/>
      </w:numPr>
    </w:pPr>
  </w:style>
  <w:style w:type="character" w:customStyle="1" w:styleId="DataItem">
    <w:name w:val="DataItem"/>
    <w:rPr>
      <w:b/>
      <w:i w:val="0"/>
      <w:color w:val="0000FF"/>
    </w:rPr>
  </w:style>
  <w:style w:type="table" w:customStyle="1" w:styleId="DatesTable">
    <w:name w:val="DatesTable"/>
    <w:basedOn w:val="TableNormal"/>
    <w:uiPriority w:val="99"/>
    <w:pPr>
      <w:spacing w:before="80" w:after="80"/>
      <w:jc w:val="center"/>
    </w:pPr>
    <w:rPr>
      <w:rFonts w:asciiTheme="minorHAnsi" w:eastAsiaTheme="minorHAnsi" w:hAnsiTheme="minorHAnsi" w:cstheme="minorBidi"/>
      <w:color w:val="59595B"/>
      <w:sz w:val="22"/>
      <w:szCs w:val="22"/>
    </w:rPr>
    <w:tblPr>
      <w:tblStyleRowBandSize w:val="1"/>
      <w:jc w:val="center"/>
      <w:tblBorders>
        <w:insideV w:val="single" w:sz="48" w:space="0" w:color="FFFFFF" w:themeColor="background1"/>
      </w:tblBorders>
    </w:tblPr>
    <w:trPr>
      <w:jc w:val="center"/>
    </w:trPr>
    <w:tcPr>
      <w:vAlign w:val="center"/>
    </w:tcPr>
    <w:tblStylePr w:type="firstRow">
      <w:rPr>
        <w:b/>
        <w:color w:val="FFFFFF" w:themeColor="background1"/>
      </w:rPr>
      <w:tblPr/>
      <w:tcPr>
        <w:shd w:val="clear" w:color="auto" w:fill="0080FF"/>
      </w:tcPr>
    </w:tblStylePr>
    <w:tblStylePr w:type="band1Horz">
      <w:tblPr/>
      <w:tcPr>
        <w:tcBorders>
          <w:bottom w:val="single" w:sz="4" w:space="0" w:color="auto"/>
        </w:tcBorders>
      </w:tcPr>
    </w:tblStylePr>
    <w:tblStylePr w:type="band2Horz">
      <w:tblPr/>
      <w:tcPr>
        <w:tcBorders>
          <w:bottom w:val="single" w:sz="4" w:space="0" w:color="auto"/>
        </w:tcBorders>
      </w:tcPr>
    </w:tblStylePr>
  </w:style>
  <w:style w:type="table" w:customStyle="1" w:styleId="DatesTable2">
    <w:name w:val="DatesTable2"/>
    <w:basedOn w:val="TableNormal"/>
    <w:uiPriority w:val="99"/>
    <w:pPr>
      <w:spacing w:before="10" w:after="10"/>
      <w:jc w:val="center"/>
    </w:pPr>
    <w:rPr>
      <w:rFonts w:asciiTheme="minorHAnsi" w:eastAsiaTheme="minorHAnsi" w:hAnsiTheme="minorHAnsi" w:cstheme="minorBidi"/>
      <w:sz w:val="22"/>
      <w:szCs w:val="22"/>
    </w:rPr>
    <w:tblPr>
      <w:tblBorders>
        <w:insideH w:val="single" w:sz="6" w:space="0" w:color="A6A6A6" w:themeColor="background1" w:themeShade="A6"/>
        <w:insideV w:val="single" w:sz="6" w:space="0" w:color="A6A6A6" w:themeColor="background1" w:themeShade="A6"/>
      </w:tblBorders>
    </w:tblPr>
    <w:tcPr>
      <w:vAlign w:val="center"/>
    </w:tcPr>
    <w:tblStylePr w:type="firstRow">
      <w:rPr>
        <w:b/>
        <w:color w:val="FFFFFF" w:themeColor="background1"/>
      </w:rPr>
      <w:tblPr/>
      <w:tcPr>
        <w:tcBorders>
          <w:top w:val="single" w:sz="6" w:space="0" w:color="A6A6A6" w:themeColor="background1" w:themeShade="A6"/>
          <w:left w:val="nil"/>
          <w:bottom w:val="single" w:sz="6" w:space="0" w:color="A6A6A6" w:themeColor="background1" w:themeShade="A6"/>
          <w:right w:val="nil"/>
          <w:insideH w:val="single" w:sz="6" w:space="0" w:color="A6A6A6" w:themeColor="background1" w:themeShade="A6"/>
          <w:insideV w:val="single" w:sz="6" w:space="0" w:color="A6A6A6" w:themeColor="background1" w:themeShade="A6"/>
        </w:tcBorders>
        <w:shd w:val="clear" w:color="auto" w:fill="0080FF"/>
      </w:tcPr>
    </w:tblStylePr>
    <w:tblStylePr w:type="lastRow">
      <w:tblPr/>
      <w:tcPr>
        <w:tcBorders>
          <w:bottom w:val="single" w:sz="6" w:space="0" w:color="A6A6A6" w:themeColor="background1" w:themeShade="A6"/>
        </w:tcBorders>
      </w:tcPr>
    </w:tblStylePr>
  </w:style>
  <w:style w:type="table" w:customStyle="1" w:styleId="DatesTable3">
    <w:name w:val="DatesTable3"/>
    <w:basedOn w:val="DatesTable2"/>
    <w:uiPriority w:val="99"/>
    <w:pPr>
      <w:spacing w:before="80" w:after="80"/>
    </w:pPr>
    <w:rPr>
      <w:color w:val="59595B"/>
    </w:rPr>
    <w:tblPr/>
    <w:tblStylePr w:type="firstRow">
      <w:rPr>
        <w:b/>
        <w:color w:val="FFFFFF" w:themeColor="background1"/>
      </w:rPr>
      <w:tblPr/>
      <w:tcPr>
        <w:tcBorders>
          <w:top w:val="single" w:sz="6" w:space="0" w:color="A6A6A6" w:themeColor="background1" w:themeShade="A6"/>
          <w:left w:val="nil"/>
          <w:bottom w:val="single" w:sz="6" w:space="0" w:color="A6A6A6" w:themeColor="background1" w:themeShade="A6"/>
          <w:right w:val="nil"/>
          <w:insideH w:val="single" w:sz="6" w:space="0" w:color="A6A6A6" w:themeColor="background1" w:themeShade="A6"/>
          <w:insideV w:val="single" w:sz="6" w:space="0" w:color="A6A6A6" w:themeColor="background1" w:themeShade="A6"/>
        </w:tcBorders>
        <w:shd w:val="clear" w:color="auto" w:fill="0080FF"/>
      </w:tcPr>
    </w:tblStylePr>
    <w:tblStylePr w:type="lastRow">
      <w:pPr>
        <w:jc w:val="center"/>
      </w:pPr>
      <w:tblPr/>
      <w:tcPr>
        <w:tcBorders>
          <w:bottom w:val="nil"/>
        </w:tcBorders>
        <w:shd w:val="clear" w:color="auto" w:fill="FFFFFF" w:themeFill="background1"/>
      </w:tcPr>
    </w:tblStylePr>
  </w:style>
  <w:style w:type="table" w:customStyle="1" w:styleId="DatesTable4">
    <w:name w:val="DatesTable4"/>
    <w:basedOn w:val="DatesTable3"/>
    <w:uiPriority w:val="99"/>
    <w:tblPr>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Row">
      <w:rPr>
        <w:b/>
        <w:color w:val="FFFFFF" w:themeColor="background1"/>
      </w:rPr>
      <w:tblPr/>
      <w:tcPr>
        <w:tcBorders>
          <w:top w:val="single" w:sz="6" w:space="0" w:color="A6A6A6" w:themeColor="background1" w:themeShade="A6"/>
          <w:left w:val="nil"/>
          <w:bottom w:val="single" w:sz="6" w:space="0" w:color="A6A6A6" w:themeColor="background1" w:themeShade="A6"/>
          <w:right w:val="nil"/>
          <w:insideH w:val="single" w:sz="6" w:space="0" w:color="A6A6A6" w:themeColor="background1" w:themeShade="A6"/>
          <w:insideV w:val="single" w:sz="6" w:space="0" w:color="A6A6A6" w:themeColor="background1" w:themeShade="A6"/>
        </w:tcBorders>
        <w:shd w:val="clear" w:color="auto" w:fill="0080FF"/>
      </w:tcPr>
    </w:tblStylePr>
    <w:tblStylePr w:type="lastRow">
      <w:pPr>
        <w:jc w:val="center"/>
      </w:pPr>
      <w:tblPr/>
      <w:tcPr>
        <w:tcBorders>
          <w:bottom w:val="nil"/>
        </w:tcBorders>
        <w:shd w:val="clear" w:color="auto" w:fill="FFFFFF" w:themeFill="background1"/>
      </w:tcPr>
    </w:tblStylePr>
  </w:style>
  <w:style w:type="paragraph" w:customStyle="1" w:styleId="Determinations">
    <w:name w:val="Determinations"/>
    <w:basedOn w:val="Normal"/>
    <w:link w:val="DeterminationsChar"/>
    <w:uiPriority w:val="1"/>
    <w:qFormat/>
    <w:pPr>
      <w:widowControl w:val="0"/>
      <w:autoSpaceDE w:val="0"/>
      <w:autoSpaceDN w:val="0"/>
      <w:spacing w:line="240" w:lineRule="auto"/>
      <w:jc w:val="center"/>
    </w:pPr>
    <w:rPr>
      <w:rFonts w:ascii="Helvetica" w:eastAsiaTheme="minorHAnsi" w:hAnsi="Helvetica" w:cs="Helvetica"/>
      <w:color w:val="FFFFFF" w:themeColor="background1"/>
    </w:rPr>
  </w:style>
  <w:style w:type="character" w:customStyle="1" w:styleId="DeterminationsChar">
    <w:name w:val="Determinations Char"/>
    <w:basedOn w:val="DefaultParagraphFont"/>
    <w:link w:val="Determinations"/>
    <w:uiPriority w:val="1"/>
    <w:rPr>
      <w:rFonts w:ascii="Helvetica" w:eastAsiaTheme="minorHAnsi" w:hAnsi="Helvetica" w:cs="Helvetica"/>
      <w:color w:val="FFFFFF" w:themeColor="background1"/>
    </w:rPr>
  </w:style>
  <w:style w:type="character" w:styleId="Emphasis">
    <w:name w:val="Emphasis"/>
    <w:basedOn w:val="DefaultParagraphFont"/>
    <w:uiPriority w:val="20"/>
    <w:qFormat/>
    <w:rPr>
      <w:i/>
      <w:iCs/>
    </w:rPr>
  </w:style>
  <w:style w:type="paragraph" w:customStyle="1" w:styleId="FontBodyRegularJustify">
    <w:name w:val="FontBodyRegularJustify"/>
    <w:pPr>
      <w:spacing w:line="220" w:lineRule="exact"/>
      <w:jc w:val="both"/>
    </w:pPr>
    <w:rPr>
      <w:rFonts w:ascii="Helvetica" w:eastAsia="Helvetica" w:hAnsi="Helvetica" w:cs="Helvetica"/>
      <w:color w:val="59595B"/>
      <w:sz w:val="16"/>
    </w:rPr>
  </w:style>
  <w:style w:type="paragraph" w:customStyle="1" w:styleId="FontHeaderCoverSmall">
    <w:name w:val="FontHeaderCoverSmall"/>
    <w:pPr>
      <w:spacing w:line="180" w:lineRule="exact"/>
    </w:pPr>
    <w:rPr>
      <w:rFonts w:ascii="Helvetica" w:eastAsia="Helvetica" w:hAnsi="Helvetica" w:cs="Helvetica"/>
      <w:sz w:val="14"/>
    </w:rPr>
  </w:style>
  <w:style w:type="paragraph" w:customStyle="1" w:styleId="FontHeaderCoverSmallHeader">
    <w:name w:val="FontHeaderCoverSmall_Header"/>
    <w:pPr>
      <w:spacing w:line="180" w:lineRule="exact"/>
    </w:pPr>
    <w:rPr>
      <w:rFonts w:ascii="Helvetica" w:eastAsia="Helvetica" w:hAnsi="Helvetica" w:cs="Helvetica"/>
      <w:color w:val="FFFFFF"/>
      <w:sz w:val="14"/>
    </w:rPr>
  </w:style>
  <w:style w:type="paragraph" w:customStyle="1" w:styleId="FooterText">
    <w:name w:val="Footer_Text"/>
    <w:pPr>
      <w:spacing w:before="170" w:line="140" w:lineRule="exact"/>
    </w:pPr>
    <w:rPr>
      <w:rFonts w:ascii="Helvetica" w:eastAsia="Helvetica" w:hAnsi="Helvetica" w:cs="Helvetica"/>
      <w:sz w:val="1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widowControl w:val="0"/>
      <w:autoSpaceDE w:val="0"/>
      <w:autoSpaceDN w:val="0"/>
      <w:spacing w:line="240" w:lineRule="auto"/>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rPr>
  </w:style>
  <w:style w:type="character" w:customStyle="1" w:styleId="GreyDarkerbody">
    <w:name w:val="GreyDarker_body"/>
    <w:rPr>
      <w:b w:val="0"/>
      <w:i w:val="0"/>
      <w:color w:val="59595B"/>
    </w:rPr>
  </w:style>
  <w:style w:type="table" w:customStyle="1" w:styleId="HypoExamples">
    <w:name w:val="HypoExamples"/>
    <w:basedOn w:val="TableNormal"/>
    <w:uiPriority w:val="99"/>
    <w:rPr>
      <w:rFonts w:asciiTheme="minorHAnsi" w:eastAsiaTheme="minorHAnsi" w:hAnsiTheme="minorHAnsi" w:cstheme="minorBidi"/>
      <w:sz w:val="22"/>
      <w:szCs w:val="22"/>
    </w:rPr>
    <w:tblPr>
      <w:tblBorders>
        <w:insideH w:val="single" w:sz="4" w:space="0" w:color="auto"/>
      </w:tblBorders>
    </w:tblPr>
    <w:tblStylePr w:type="lastRow">
      <w:tblPr/>
      <w:tcPr>
        <w:tcBorders>
          <w:bottom w:val="single" w:sz="4" w:space="0" w:color="auto"/>
        </w:tcBorders>
      </w:tcPr>
    </w:tblStylePr>
  </w:style>
  <w:style w:type="table" w:customStyle="1" w:styleId="HypoTable">
    <w:name w:val="HypoTable"/>
    <w:basedOn w:val="TableNormal"/>
    <w:uiPriority w:val="99"/>
    <w:pPr>
      <w:spacing w:before="80" w:after="80"/>
      <w:jc w:val="center"/>
    </w:pPr>
    <w:rPr>
      <w:rFonts w:asciiTheme="minorHAnsi" w:eastAsiaTheme="minorHAnsi" w:hAnsiTheme="minorHAnsi" w:cstheme="minorBidi"/>
      <w:color w:val="59595B"/>
      <w:sz w:val="22"/>
      <w:szCs w:val="22"/>
    </w:rPr>
    <w:tblPr>
      <w:tblStyleRowBandSize w:val="1"/>
      <w:jc w:val="center"/>
      <w:tblBorders>
        <w:insideV w:val="single" w:sz="4" w:space="0" w:color="FFFFFF" w:themeColor="background1"/>
      </w:tblBorders>
    </w:tblPr>
    <w:trPr>
      <w:jc w:val="center"/>
    </w:trPr>
    <w:tblStylePr w:type="firstRow">
      <w:rPr>
        <w:b/>
        <w:color w:val="FFFFFF" w:themeColor="background1"/>
      </w:rPr>
      <w:tblPr/>
      <w:tcPr>
        <w:shd w:val="clear" w:color="auto" w:fill="0080FF"/>
      </w:tcPr>
    </w:tblStylePr>
    <w:tblStylePr w:type="band1Horz">
      <w:tblPr/>
      <w:tcPr>
        <w:shd w:val="clear" w:color="auto" w:fill="DADADA"/>
      </w:tcPr>
    </w:tblStylePr>
    <w:tblStylePr w:type="band2Horz">
      <w:tblPr/>
      <w:tcPr>
        <w:shd w:val="clear" w:color="auto" w:fill="F0F0F0"/>
      </w:tcPr>
    </w:tblStylePr>
  </w:style>
  <w:style w:type="paragraph" w:customStyle="1" w:styleId="Linkedto">
    <w:name w:val="Linked to"/>
    <w:basedOn w:val="Normal"/>
    <w:uiPriority w:val="1"/>
    <w:qFormat/>
    <w:pPr>
      <w:widowControl w:val="0"/>
      <w:autoSpaceDE w:val="0"/>
      <w:autoSpaceDN w:val="0"/>
      <w:spacing w:line="240" w:lineRule="auto"/>
    </w:pPr>
    <w:rPr>
      <w:rFonts w:ascii="Helvetica" w:eastAsiaTheme="minorHAnsi" w:hAnsi="Helvetica" w:cstheme="minorBidi"/>
      <w:sz w:val="26"/>
      <w:szCs w:val="22"/>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NormalHeading">
    <w:name w:val="Normal_Heading"/>
    <w:pPr>
      <w:spacing w:line="200" w:lineRule="exact"/>
    </w:pPr>
    <w:rPr>
      <w:rFonts w:ascii="Helvetica" w:eastAsia="Helvetica" w:hAnsi="Helvetica" w:cs="Helvetica"/>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qFormat/>
    <w:pPr>
      <w:spacing w:after="240" w:line="240" w:lineRule="auto"/>
      <w:ind w:left="1440" w:right="1440"/>
    </w:pPr>
    <w:rPr>
      <w:rFonts w:ascii="Times New Roman" w:eastAsia="Times New Roman" w:hAnsi="Times New Roman" w:cs="Times New Roman"/>
    </w:rPr>
  </w:style>
  <w:style w:type="character" w:customStyle="1" w:styleId="QuoteChar">
    <w:name w:val="Quote Char"/>
    <w:basedOn w:val="DefaultParagraphFont"/>
    <w:link w:val="Quote"/>
  </w:style>
  <w:style w:type="paragraph" w:customStyle="1" w:styleId="Style1">
    <w:name w:val="Style1"/>
    <w:basedOn w:val="Header"/>
    <w:link w:val="Style1Char"/>
    <w:uiPriority w:val="1"/>
    <w:qFormat/>
    <w:pPr>
      <w:widowControl w:val="0"/>
      <w:autoSpaceDE w:val="0"/>
      <w:autoSpaceDN w:val="0"/>
      <w:spacing w:line="240" w:lineRule="auto"/>
    </w:pPr>
    <w:rPr>
      <w:rFonts w:ascii="Helvetica" w:eastAsiaTheme="minorHAnsi" w:hAnsi="Helvetica" w:cs="Helvetica"/>
      <w:sz w:val="18"/>
      <w:szCs w:val="18"/>
      <w:lang w:val="en-GB"/>
    </w:rPr>
  </w:style>
  <w:style w:type="character" w:customStyle="1" w:styleId="Style1Char">
    <w:name w:val="Style1 Char"/>
    <w:basedOn w:val="HeaderChar"/>
    <w:link w:val="Style1"/>
    <w:uiPriority w:val="1"/>
    <w:rPr>
      <w:rFonts w:ascii="Helvetica" w:eastAsiaTheme="minorHAnsi" w:hAnsi="Helvetica" w:cs="Helvetica"/>
      <w:sz w:val="18"/>
      <w:szCs w:val="18"/>
      <w:lang w:val="en-GB"/>
    </w:rPr>
  </w:style>
  <w:style w:type="paragraph" w:customStyle="1" w:styleId="Style3">
    <w:name w:val="Style3"/>
    <w:basedOn w:val="Normal"/>
    <w:link w:val="Style3Char"/>
    <w:uiPriority w:val="1"/>
    <w:qFormat/>
    <w:pPr>
      <w:keepNext/>
      <w:widowControl w:val="0"/>
      <w:autoSpaceDE w:val="0"/>
      <w:autoSpaceDN w:val="0"/>
      <w:spacing w:before="200" w:after="200" w:line="240" w:lineRule="auto"/>
    </w:pPr>
    <w:rPr>
      <w:rFonts w:asciiTheme="minorHAnsi" w:eastAsiaTheme="minorHAnsi" w:hAnsiTheme="minorHAnsi" w:cstheme="minorBidi"/>
      <w:sz w:val="22"/>
      <w:szCs w:val="22"/>
    </w:rPr>
  </w:style>
  <w:style w:type="character" w:customStyle="1" w:styleId="Style3Char">
    <w:name w:val="Style3 Char"/>
    <w:basedOn w:val="DefaultParagraphFont"/>
    <w:link w:val="Style3"/>
    <w:uiPriority w:val="1"/>
    <w:rPr>
      <w:rFonts w:asciiTheme="minorHAnsi" w:eastAsiaTheme="minorHAnsi" w:hAnsiTheme="minorHAnsi" w:cstheme="minorBidi"/>
      <w:sz w:val="22"/>
      <w:szCs w:val="22"/>
    </w:rPr>
  </w:style>
  <w:style w:type="character" w:customStyle="1" w:styleId="SuperScriptReserveRed">
    <w:name w:val="SuperScript_Reserve_Red"/>
    <w:rPr>
      <w:b w:val="0"/>
      <w:i w:val="0"/>
      <w:color w:val="FF0000"/>
      <w:vertAlign w:val="superscript"/>
    </w:rPr>
  </w:style>
  <w:style w:type="paragraph" w:customStyle="1" w:styleId="TableParagraph">
    <w:name w:val="Table Paragraph"/>
    <w:basedOn w:val="Normal"/>
    <w:uiPriority w:val="1"/>
    <w:qFormat/>
    <w:pPr>
      <w:widowControl w:val="0"/>
      <w:autoSpaceDE w:val="0"/>
      <w:autoSpaceDN w:val="0"/>
      <w:spacing w:before="88" w:line="240" w:lineRule="auto"/>
      <w:ind w:left="387"/>
      <w:jc w:val="center"/>
    </w:pPr>
    <w:rPr>
      <w:rFonts w:asciiTheme="minorHAnsi" w:eastAsiaTheme="minorHAnsi" w:hAnsiTheme="minorHAnsi" w:cstheme="minorBidi"/>
      <w:sz w:val="22"/>
      <w:szCs w:val="22"/>
    </w:rPr>
  </w:style>
  <w:style w:type="table" w:customStyle="1" w:styleId="TermsTable">
    <w:name w:val="TermsTable"/>
    <w:basedOn w:val="TableNormal"/>
    <w:uiPriority w:val="99"/>
    <w:pPr>
      <w:spacing w:before="100" w:after="100" w:line="220" w:lineRule="exact"/>
    </w:pPr>
    <w:rPr>
      <w:rFonts w:ascii="Helvetica" w:eastAsiaTheme="minorHAnsi" w:hAnsi="Helvetica" w:cstheme="minorBidi"/>
      <w:color w:val="59595B"/>
      <w:sz w:val="22"/>
      <w:szCs w:val="22"/>
    </w:rPr>
    <w:tblPr>
      <w:tblStyleRowBandSize w:val="1"/>
      <w:tblBorders>
        <w:insideH w:val="single" w:sz="6" w:space="0" w:color="FFFFFF" w:themeColor="background1"/>
      </w:tblBorders>
    </w:tblPr>
    <w:tblStylePr w:type="firstCol">
      <w:pPr>
        <w:jc w:val="left"/>
      </w:pPr>
      <w:rPr>
        <w:b/>
        <w:color w:val="FFFFFF" w:themeColor="background1"/>
      </w:rPr>
      <w:tblPr/>
      <w:tcPr>
        <w:tcBorders>
          <w:top w:val="nil"/>
          <w:left w:val="nil"/>
          <w:bottom w:val="nil"/>
          <w:right w:val="nil"/>
          <w:insideH w:val="single" w:sz="6" w:space="0" w:color="FFFFFF" w:themeColor="background1"/>
          <w:insideV w:val="nil"/>
          <w:tl2br w:val="nil"/>
          <w:tr2bl w:val="nil"/>
        </w:tcBorders>
        <w:shd w:val="clear" w:color="auto" w:fill="0080FF"/>
      </w:tcPr>
    </w:tblStylePr>
    <w:tblStylePr w:type="band1Horz">
      <w:tblPr/>
      <w:tcPr>
        <w:shd w:val="clear" w:color="auto" w:fill="DADADA"/>
      </w:tcPr>
    </w:tblStylePr>
    <w:tblStylePr w:type="band2Horz">
      <w:tblPr/>
      <w:tcPr>
        <w:shd w:val="clear" w:color="auto" w:fill="F0F0F0"/>
      </w:tcPr>
    </w:tblStylePr>
  </w:style>
  <w:style w:type="paragraph" w:customStyle="1" w:styleId="Bullet1">
    <w:name w:val="Bullet1"/>
    <w:basedOn w:val="Normal"/>
    <w:uiPriority w:val="1"/>
    <w:qFormat/>
    <w:pPr>
      <w:widowControl w:val="0"/>
      <w:numPr>
        <w:numId w:val="41"/>
      </w:numPr>
      <w:autoSpaceDE w:val="0"/>
      <w:autoSpaceDN w:val="0"/>
      <w:spacing w:line="240" w:lineRule="auto"/>
    </w:pPr>
    <w:rPr>
      <w:rFonts w:asciiTheme="minorHAnsi" w:eastAsiaTheme="minorHAnsi" w:hAnsiTheme="minorHAnsi" w:cstheme="minorBidi"/>
      <w:color w:val="000000"/>
      <w:sz w:val="22"/>
      <w:szCs w:val="22"/>
    </w:rPr>
  </w:style>
  <w:style w:type="paragraph" w:customStyle="1" w:styleId="Bullet2">
    <w:name w:val="Bullet2"/>
    <w:basedOn w:val="Normal"/>
    <w:uiPriority w:val="1"/>
    <w:qFormat/>
    <w:pPr>
      <w:numPr>
        <w:numId w:val="42"/>
      </w:numPr>
      <w:pBdr>
        <w:top w:val="nil"/>
        <w:left w:val="nil"/>
        <w:bottom w:val="nil"/>
        <w:right w:val="nil"/>
      </w:pBdr>
      <w:tabs>
        <w:tab w:val="clear" w:pos="0"/>
      </w:tabs>
      <w:spacing w:before="120"/>
      <w:ind w:left="489"/>
    </w:pPr>
    <w:rPr>
      <w:rFonts w:asciiTheme="minorHAnsi" w:eastAsiaTheme="minorHAnsi" w:hAnsiTheme="minorHAnsi" w:cstheme="minorBidi"/>
      <w:color w:val="000000"/>
      <w:sz w:val="22"/>
      <w:szCs w:val="22"/>
    </w:rPr>
  </w:style>
  <w:style w:type="paragraph" w:customStyle="1" w:styleId="Letter1">
    <w:name w:val="Letter1"/>
    <w:basedOn w:val="Normal"/>
    <w:uiPriority w:val="1"/>
    <w:qFormat/>
    <w:pPr>
      <w:widowControl w:val="0"/>
      <w:numPr>
        <w:numId w:val="43"/>
      </w:numPr>
      <w:autoSpaceDE w:val="0"/>
      <w:autoSpaceDN w:val="0"/>
      <w:spacing w:line="240" w:lineRule="auto"/>
    </w:pPr>
    <w:rPr>
      <w:rFonts w:asciiTheme="minorHAnsi" w:eastAsiaTheme="minorHAnsi" w:hAnsiTheme="minorHAnsi" w:cstheme="minorBidi"/>
      <w:color w:val="000000"/>
      <w:sz w:val="22"/>
      <w:szCs w:val="22"/>
    </w:rPr>
  </w:style>
  <w:style w:type="paragraph" w:customStyle="1" w:styleId="Number1">
    <w:name w:val="Number1"/>
    <w:basedOn w:val="Normal"/>
    <w:uiPriority w:val="1"/>
    <w:qFormat/>
    <w:pPr>
      <w:widowControl w:val="0"/>
      <w:numPr>
        <w:numId w:val="44"/>
      </w:numPr>
      <w:autoSpaceDE w:val="0"/>
      <w:autoSpaceDN w:val="0"/>
      <w:spacing w:line="240" w:lineRule="auto"/>
    </w:pPr>
    <w:rPr>
      <w:rFonts w:asciiTheme="minorHAnsi" w:eastAsiaTheme="minorHAnsi" w:hAnsiTheme="minorHAnsi" w:cstheme="minorBidi"/>
      <w:color w:val="000000"/>
      <w:sz w:val="22"/>
      <w:szCs w:val="22"/>
    </w:rPr>
  </w:style>
  <w:style w:type="paragraph" w:customStyle="1" w:styleId="Numeral1">
    <w:name w:val="Numeral1"/>
    <w:basedOn w:val="Normal"/>
    <w:uiPriority w:val="1"/>
    <w:qFormat/>
    <w:pPr>
      <w:numPr>
        <w:ilvl w:val="5"/>
        <w:numId w:val="45"/>
      </w:numPr>
      <w:pBdr>
        <w:top w:val="nil"/>
        <w:left w:val="nil"/>
        <w:bottom w:val="nil"/>
        <w:right w:val="nil"/>
      </w:pBdr>
      <w:tabs>
        <w:tab w:val="clear" w:pos="0"/>
      </w:tabs>
      <w:spacing w:before="120"/>
      <w:ind w:left="360"/>
    </w:pPr>
    <w:rPr>
      <w:rFonts w:asciiTheme="minorHAnsi" w:eastAsiaTheme="minorHAnsi" w:hAnsiTheme="minorHAnsi" w:cstheme="minorBidi"/>
      <w:color w:val="000000"/>
      <w:sz w:val="22"/>
      <w:szCs w:val="22"/>
    </w:rPr>
  </w:style>
  <w:style w:type="paragraph" w:customStyle="1" w:styleId="Numeral2">
    <w:name w:val="Numeral2"/>
    <w:basedOn w:val="Normal"/>
    <w:uiPriority w:val="1"/>
    <w:qFormat/>
    <w:pPr>
      <w:numPr>
        <w:numId w:val="46"/>
      </w:numPr>
      <w:pBdr>
        <w:top w:val="nil"/>
        <w:left w:val="nil"/>
        <w:bottom w:val="nil"/>
        <w:right w:val="nil"/>
      </w:pBdr>
      <w:tabs>
        <w:tab w:val="clear" w:pos="0"/>
      </w:tabs>
      <w:spacing w:before="120"/>
    </w:pPr>
    <w:rPr>
      <w:rFonts w:asciiTheme="minorHAnsi" w:eastAsiaTheme="minorHAnsi" w:hAnsiTheme="minorHAnsi" w:cstheme="minorBid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303334">
      <w:bodyDiv w:val="1"/>
      <w:marLeft w:val="0"/>
      <w:marRight w:val="0"/>
      <w:marTop w:val="0"/>
      <w:marBottom w:val="0"/>
      <w:divBdr>
        <w:top w:val="none" w:sz="0" w:space="0" w:color="auto"/>
        <w:left w:val="none" w:sz="0" w:space="0" w:color="auto"/>
        <w:bottom w:val="none" w:sz="0" w:space="0" w:color="auto"/>
        <w:right w:val="none" w:sz="0" w:space="0" w:color="auto"/>
      </w:divBdr>
    </w:div>
    <w:div w:id="756440335">
      <w:bodyDiv w:val="1"/>
      <w:marLeft w:val="0"/>
      <w:marRight w:val="0"/>
      <w:marTop w:val="0"/>
      <w:marBottom w:val="0"/>
      <w:divBdr>
        <w:top w:val="none" w:sz="0" w:space="0" w:color="auto"/>
        <w:left w:val="none" w:sz="0" w:space="0" w:color="auto"/>
        <w:bottom w:val="none" w:sz="0" w:space="0" w:color="auto"/>
        <w:right w:val="none" w:sz="0" w:space="0" w:color="auto"/>
      </w:divBdr>
    </w:div>
    <w:div w:id="948464107">
      <w:bodyDiv w:val="1"/>
      <w:marLeft w:val="0"/>
      <w:marRight w:val="0"/>
      <w:marTop w:val="0"/>
      <w:marBottom w:val="0"/>
      <w:divBdr>
        <w:top w:val="none" w:sz="0" w:space="0" w:color="auto"/>
        <w:left w:val="none" w:sz="0" w:space="0" w:color="auto"/>
        <w:bottom w:val="none" w:sz="0" w:space="0" w:color="auto"/>
        <w:right w:val="none" w:sz="0" w:space="0" w:color="auto"/>
      </w:divBdr>
    </w:div>
    <w:div w:id="1276866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ec.gov/Archives/edgar/data/70858/000119312525310920/d51586d424b3.ht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sec.gov/Archives/edgar/data/70858/000119312525311320/d49145d424b2.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w15="http://schemas.microsoft.com/office/word/2012/wordml" xmlns:m="http://schemas.openxmlformats.org/officeDocument/2006/math" xmlns:ns5="http://schemas.openxmlformats.org/schemaLibrary/2006/main"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SixthEditionOfficeOnline.xsl"/>
</file>

<file path=customXml/itemProps1.xml><?xml version="1.0" encoding="utf-8"?>
<ds:datastoreItem xmlns:ds="http://schemas.openxmlformats.org/officeDocument/2006/customXml" ds:itemID="{820664AB-6572-4FA7-8D17-032B55960D6E}">
  <ds:schemaRefs>
    <ds:schemaRef ds:uri="http://schemas.openxmlformats.org/wordprocessingml/2006/main"/>
    <ds:schemaRef ds:uri="http://schemas.openxmlformats.org/officeDocument/2006/relationships"/>
    <ds:schemaRef ds:uri="http://schemas.microsoft.com/office/word/2012/wordml"/>
    <ds:schemaRef ds:uri="http://schemas.openxmlformats.org/officeDocument/2006/math"/>
    <ds:schemaRef ds:uri="http://schemas.openxmlformats.org/schemaLibrary/2006/main"/>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18564</Words>
  <Characters>105815</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Sewell</dc:creator>
  <cp:keywords/>
  <dc:description/>
  <cp:lastModifiedBy>Rakibul Hasan</cp:lastModifiedBy>
  <cp:revision>2</cp:revision>
  <dcterms:created xsi:type="dcterms:W3CDTF">2026-06-12T09:24:00Z</dcterms:created>
  <dcterms:modified xsi:type="dcterms:W3CDTF">2026-06-12T09:24:00Z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35e673ab-cb93-4755-9cbd-dbea40e6a4dd</vt:lpwstr>
  </property>
  <property fmtid="{D5CDD505-2E9C-101B-9397-08002B2CF9AE}" pid="3" name="Classification">
    <vt:lpwstr>Unclassified</vt:lpwstr>
  </property>
  <property fmtid="{D5CDD505-2E9C-101B-9397-08002B2CF9AE}" pid="4" name="_AdHocReviewCycleID">
    <vt:i4>-857324620</vt:i4>
  </property>
  <property fmtid="{D5CDD505-2E9C-101B-9397-08002B2CF9AE}" pid="5" name="_NewReviewCycle">
    <vt:lpwstr/>
  </property>
  <property fmtid="{D5CDD505-2E9C-101B-9397-08002B2CF9AE}" pid="6" name="_EmailSubject">
    <vt:lpwstr>Bofa Deal: 3PD14162 - Final - (GS)  (BYLMXE09)</vt:lpwstr>
  </property>
  <property fmtid="{D5CDD505-2E9C-101B-9397-08002B2CF9AE}" pid="7" name="_AuthorEmail">
    <vt:lpwstr>crystal.thai@sidley.com</vt:lpwstr>
  </property>
  <property fmtid="{D5CDD505-2E9C-101B-9397-08002B2CF9AE}" pid="8" name="_AuthorEmailDisplayName">
    <vt:lpwstr>Thai, Crystal N.</vt:lpwstr>
  </property>
  <property fmtid="{D5CDD505-2E9C-101B-9397-08002B2CF9AE}" pid="9" name="_PreviousAdHocReviewCycleID">
    <vt:i4>-1819523924</vt:i4>
  </property>
  <property fmtid="{D5CDD505-2E9C-101B-9397-08002B2CF9AE}" pid="10" name="ndDocumentId">
    <vt:lpwstr>4906-2852-7771</vt:lpwstr>
  </property>
  <property fmtid="{D5CDD505-2E9C-101B-9397-08002B2CF9AE}" pid="11" name="_ReviewingToolsShownOnce">
    <vt:lpwstr/>
  </property>
</Properties>
</file>