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C968E" w14:textId="688F26D6" w:rsidR="002C6D14" w:rsidRPr="00DF7ED9" w:rsidRDefault="00262AA1" w:rsidP="006B184B">
      <w:pPr>
        <w:pBdr>
          <w:top w:val="none" w:sz="0" w:space="31" w:color="auto"/>
          <w:bottom w:val="none" w:sz="0" w:space="6" w:color="auto"/>
        </w:pBdr>
        <w:ind w:left="590" w:right="792"/>
        <w:jc w:val="right"/>
        <w:rPr>
          <w:rFonts w:ascii="Arial" w:eastAsia="Arial" w:hAnsi="Arial" w:cs="Arial"/>
          <w:b/>
          <w:bCs/>
          <w:color w:val="808080"/>
          <w:sz w:val="13"/>
          <w:szCs w:val="13"/>
        </w:rPr>
      </w:pPr>
      <w:r w:rsidRPr="00DF7ED9">
        <w:rPr>
          <w:noProof/>
          <w:lang w:eastAsia="zh-CN" w:bidi="he-IL"/>
        </w:rPr>
        <mc:AlternateContent>
          <mc:Choice Requires="wps">
            <w:drawing>
              <wp:anchor distT="0" distB="0" distL="114300" distR="114300" simplePos="0" relativeHeight="251661312" behindDoc="0" locked="0" layoutInCell="1" allowOverlap="1" wp14:anchorId="4522662D" wp14:editId="5CF698B3">
                <wp:simplePos x="0" y="0"/>
                <wp:positionH relativeFrom="column">
                  <wp:posOffset>-141916</wp:posOffset>
                </wp:positionH>
                <wp:positionV relativeFrom="paragraph">
                  <wp:posOffset>-2875</wp:posOffset>
                </wp:positionV>
                <wp:extent cx="255905" cy="8011160"/>
                <wp:effectExtent l="0" t="0" r="1270"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905" cy="80111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FD08D31" w14:textId="52F0466F" w:rsidR="00344C6A" w:rsidRDefault="00344C6A" w:rsidP="00262AA1">
                            <w:pPr>
                              <w:pStyle w:val="FontSmallRedLeftGutter"/>
                            </w:pPr>
                          </w:p>
                        </w:txbxContent>
                      </wps:txbx>
                      <wps:bodyPr rot="0" vert="vert270" wrap="square" lIns="35941" tIns="35941" rIns="0" bIns="0" anchor="b" anchorCtr="0" upright="1">
                        <a:noAutofit/>
                      </wps:bodyPr>
                    </wps:wsp>
                  </a:graphicData>
                </a:graphic>
                <wp14:sizeRelH relativeFrom="page">
                  <wp14:pctWidth>0</wp14:pctWidth>
                </wp14:sizeRelH>
                <wp14:sizeRelV relativeFrom="page">
                  <wp14:pctHeight>0</wp14:pctHeight>
                </wp14:sizeRelV>
              </wp:anchor>
            </w:drawing>
          </mc:Choice>
          <mc:Fallback>
            <w:pict>
              <v:shapetype w14:anchorId="4522662D" id="_x0000_t202" coordsize="21600,21600" o:spt="202" path="m,l,21600r21600,l21600,xe">
                <v:stroke joinstyle="miter"/>
                <v:path gradientshapeok="t" o:connecttype="rect"/>
              </v:shapetype>
              <v:shape id="Text Box 9" o:spid="_x0000_s1026" type="#_x0000_t202" style="position:absolute;left:0;text-align:left;margin-left:-11.15pt;margin-top:-.25pt;width:20.15pt;height:630.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" stroked="f">
                <v:textbox style="layout-flow:vertical;mso-layout-flow-alt:bottom-to-top" inset="2.83pt,2.83pt,0,0">
                  <w:txbxContent>
                    <w:p w14:paraId="0FD08D31" w14:textId="52F0466F" w:rsidR="00344C6A" w:rsidRDefault="00344C6A" w:rsidP="00262AA1">
                      <w:pPr>
                        <w:pStyle w:val="FontSmallRedLeftGutter"/>
                      </w:pPr>
                    </w:p>
                  </w:txbxContent>
                </v:textbox>
              </v:shape>
            </w:pict>
          </mc:Fallback>
        </mc:AlternateContent>
      </w:r>
      <w:r w:rsidR="00290387">
        <w:rPr>
          <w:rFonts w:ascii="Arial" w:eastAsia="Arial" w:hAnsi="Arial" w:cs="Arial"/>
          <w:b/>
          <w:bCs/>
          <w:color w:val="808080"/>
          <w:sz w:val="13"/>
          <w:szCs w:val="13"/>
        </w:rPr>
        <w:t>February 2</w:t>
      </w:r>
      <w:r w:rsidR="005D7650">
        <w:rPr>
          <w:rFonts w:ascii="Arial" w:eastAsia="Arial" w:hAnsi="Arial" w:cs="Arial"/>
          <w:b/>
          <w:bCs/>
          <w:color w:val="808080"/>
          <w:sz w:val="13"/>
          <w:szCs w:val="13"/>
        </w:rPr>
        <w:t>02</w:t>
      </w:r>
      <w:r w:rsidR="00EF0F80">
        <w:rPr>
          <w:rFonts w:ascii="Arial" w:eastAsia="Arial" w:hAnsi="Arial" w:cs="Arial"/>
          <w:b/>
          <w:bCs/>
          <w:color w:val="808080"/>
          <w:sz w:val="13"/>
          <w:szCs w:val="13"/>
        </w:rPr>
        <w:t>6</w:t>
      </w:r>
    </w:p>
    <w:p w14:paraId="7E54A3FD" w14:textId="46DC0283" w:rsidR="000D73B6" w:rsidRPr="00DF7ED9" w:rsidRDefault="00867B80" w:rsidP="006B184B">
      <w:pPr>
        <w:pBdr>
          <w:top w:val="none" w:sz="0" w:space="31" w:color="auto"/>
          <w:bottom w:val="none" w:sz="0" w:space="6" w:color="auto"/>
        </w:pBdr>
        <w:ind w:left="590" w:right="792"/>
        <w:jc w:val="right"/>
        <w:rPr>
          <w:rFonts w:ascii="Arial" w:eastAsia="Arial" w:hAnsi="Arial" w:cs="Arial"/>
          <w:color w:val="808080"/>
          <w:sz w:val="13"/>
          <w:szCs w:val="13"/>
        </w:rPr>
      </w:pPr>
      <w:r w:rsidRPr="00DF7ED9">
        <w:rPr>
          <w:rFonts w:ascii="Arial" w:eastAsia="Arial" w:hAnsi="Arial" w:cs="Arial"/>
          <w:b/>
          <w:bCs/>
          <w:noProof/>
          <w:color w:val="808080"/>
          <w:sz w:val="13"/>
          <w:szCs w:val="13"/>
        </w:rPr>
        <w:drawing>
          <wp:anchor distT="0" distB="0" distL="114300" distR="114300" simplePos="0" relativeHeight="251663360" behindDoc="0" locked="0" layoutInCell="1" allowOverlap="1" wp14:anchorId="08411FB6" wp14:editId="2E522943">
            <wp:simplePos x="0" y="0"/>
            <wp:positionH relativeFrom="column">
              <wp:posOffset>323215</wp:posOffset>
            </wp:positionH>
            <wp:positionV relativeFrom="paragraph">
              <wp:posOffset>6350</wp:posOffset>
            </wp:positionV>
            <wp:extent cx="3035935" cy="55499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35935" cy="554990"/>
                    </a:xfrm>
                    <a:prstGeom prst="rect">
                      <a:avLst/>
                    </a:prstGeom>
                    <a:noFill/>
                  </pic:spPr>
                </pic:pic>
              </a:graphicData>
            </a:graphic>
          </wp:anchor>
        </w:drawing>
      </w:r>
      <w:r w:rsidR="00C24AAF" w:rsidRPr="00DF7ED9">
        <w:rPr>
          <w:rFonts w:ascii="Arial" w:eastAsia="Arial" w:hAnsi="Arial" w:cs="Arial"/>
          <w:color w:val="808080"/>
          <w:sz w:val="13"/>
          <w:szCs w:val="13"/>
        </w:rPr>
        <w:t>Pricing Supplement</w:t>
      </w:r>
    </w:p>
    <w:p w14:paraId="6CA15146" w14:textId="36A251AA" w:rsidR="00867B80" w:rsidRPr="00DF7ED9" w:rsidRDefault="00867B80" w:rsidP="006B184B">
      <w:pPr>
        <w:pBdr>
          <w:top w:val="none" w:sz="0" w:space="31" w:color="auto"/>
          <w:bottom w:val="none" w:sz="0" w:space="6" w:color="auto"/>
        </w:pBdr>
        <w:ind w:left="590" w:right="792"/>
        <w:jc w:val="right"/>
        <w:rPr>
          <w:rFonts w:ascii="Arial" w:eastAsia="Arial" w:hAnsi="Arial" w:cs="Arial"/>
          <w:color w:val="808080"/>
          <w:sz w:val="13"/>
          <w:szCs w:val="13"/>
        </w:rPr>
      </w:pPr>
      <w:r w:rsidRPr="00DF7ED9">
        <w:rPr>
          <w:rFonts w:ascii="Arial" w:eastAsia="Arial" w:hAnsi="Arial" w:cs="Arial"/>
          <w:color w:val="808080"/>
          <w:sz w:val="13"/>
          <w:szCs w:val="13"/>
        </w:rPr>
        <w:t>Dated</w:t>
      </w:r>
      <w:r w:rsidR="006401AC">
        <w:rPr>
          <w:rFonts w:ascii="Arial" w:eastAsia="Arial" w:hAnsi="Arial" w:cs="Arial"/>
          <w:color w:val="808080"/>
          <w:sz w:val="13"/>
          <w:szCs w:val="13"/>
        </w:rPr>
        <w:t xml:space="preserve"> </w:t>
      </w:r>
      <w:r w:rsidR="00290387">
        <w:rPr>
          <w:rFonts w:ascii="Arial" w:eastAsia="Arial" w:hAnsi="Arial" w:cs="Arial"/>
          <w:color w:val="808080"/>
          <w:sz w:val="13"/>
          <w:szCs w:val="13"/>
        </w:rPr>
        <w:t>February</w:t>
      </w:r>
      <w:r w:rsidR="006401AC">
        <w:rPr>
          <w:rFonts w:ascii="Arial" w:eastAsia="Arial" w:hAnsi="Arial" w:cs="Arial"/>
          <w:color w:val="808080"/>
          <w:sz w:val="13"/>
          <w:szCs w:val="13"/>
        </w:rPr>
        <w:t xml:space="preserve"> </w:t>
      </w:r>
      <w:r w:rsidR="009A5D89">
        <w:rPr>
          <w:rFonts w:ascii="Arial" w:eastAsia="Arial" w:hAnsi="Arial" w:cs="Arial"/>
          <w:color w:val="808080"/>
          <w:sz w:val="13"/>
          <w:szCs w:val="13"/>
        </w:rPr>
        <w:t>2</w:t>
      </w:r>
      <w:r w:rsidR="005D18EF">
        <w:rPr>
          <w:rFonts w:ascii="Arial" w:eastAsia="Arial" w:hAnsi="Arial" w:cs="Arial"/>
          <w:color w:val="808080"/>
          <w:sz w:val="13"/>
          <w:szCs w:val="13"/>
        </w:rPr>
        <w:t>0</w:t>
      </w:r>
      <w:r w:rsidR="005D7650">
        <w:rPr>
          <w:rFonts w:ascii="Arial" w:eastAsia="Arial" w:hAnsi="Arial" w:cs="Arial"/>
          <w:color w:val="808080"/>
          <w:sz w:val="13"/>
          <w:szCs w:val="13"/>
        </w:rPr>
        <w:t>, 202</w:t>
      </w:r>
      <w:r w:rsidR="00EF0F80">
        <w:rPr>
          <w:rFonts w:ascii="Arial" w:eastAsia="Arial" w:hAnsi="Arial" w:cs="Arial"/>
          <w:color w:val="808080"/>
          <w:sz w:val="13"/>
          <w:szCs w:val="13"/>
        </w:rPr>
        <w:t>6</w:t>
      </w:r>
    </w:p>
    <w:p w14:paraId="102416ED" w14:textId="02F69BC3" w:rsidR="000D73B6" w:rsidRPr="00DF7ED9" w:rsidRDefault="00C24AAF" w:rsidP="006B184B">
      <w:pPr>
        <w:pBdr>
          <w:top w:val="none" w:sz="0" w:space="31" w:color="auto"/>
          <w:bottom w:val="none" w:sz="0" w:space="6" w:color="auto"/>
        </w:pBdr>
        <w:ind w:left="590" w:right="792"/>
        <w:jc w:val="right"/>
        <w:rPr>
          <w:rFonts w:ascii="Arial" w:eastAsia="Arial" w:hAnsi="Arial" w:cs="Arial"/>
          <w:color w:val="808080"/>
          <w:sz w:val="13"/>
          <w:szCs w:val="13"/>
        </w:rPr>
      </w:pPr>
      <w:r w:rsidRPr="00DF7ED9">
        <w:rPr>
          <w:rFonts w:ascii="Arial" w:eastAsia="Arial" w:hAnsi="Arial" w:cs="Arial"/>
          <w:color w:val="808080"/>
          <w:sz w:val="13"/>
          <w:szCs w:val="13"/>
        </w:rPr>
        <w:t xml:space="preserve">(To Prospectus dated December </w:t>
      </w:r>
      <w:r w:rsidR="00EF0F80">
        <w:rPr>
          <w:rFonts w:ascii="Arial" w:eastAsia="Arial" w:hAnsi="Arial" w:cs="Arial"/>
          <w:color w:val="808080"/>
          <w:sz w:val="13"/>
          <w:szCs w:val="13"/>
        </w:rPr>
        <w:t>8</w:t>
      </w:r>
      <w:r w:rsidR="00200394" w:rsidRPr="00DF7ED9">
        <w:rPr>
          <w:rFonts w:ascii="Arial" w:eastAsia="Arial" w:hAnsi="Arial" w:cs="Arial"/>
          <w:color w:val="808080"/>
          <w:sz w:val="13"/>
          <w:szCs w:val="13"/>
        </w:rPr>
        <w:t>, 202</w:t>
      </w:r>
      <w:r w:rsidR="00EF0F80">
        <w:rPr>
          <w:rFonts w:ascii="Arial" w:eastAsia="Arial" w:hAnsi="Arial" w:cs="Arial"/>
          <w:color w:val="808080"/>
          <w:sz w:val="13"/>
          <w:szCs w:val="13"/>
        </w:rPr>
        <w:t>5</w:t>
      </w:r>
    </w:p>
    <w:p w14:paraId="539038DF" w14:textId="0AEB1EFA" w:rsidR="000D73B6" w:rsidRPr="00DF7ED9" w:rsidRDefault="00C24AAF" w:rsidP="006B184B">
      <w:pPr>
        <w:pBdr>
          <w:top w:val="none" w:sz="0" w:space="31" w:color="auto"/>
          <w:bottom w:val="none" w:sz="0" w:space="6" w:color="auto"/>
        </w:pBdr>
        <w:ind w:left="590" w:right="792"/>
        <w:jc w:val="right"/>
        <w:rPr>
          <w:rFonts w:ascii="Arial" w:eastAsia="Arial" w:hAnsi="Arial" w:cs="Arial"/>
          <w:color w:val="808080"/>
          <w:sz w:val="13"/>
          <w:szCs w:val="13"/>
        </w:rPr>
      </w:pPr>
      <w:r w:rsidRPr="00DF7ED9">
        <w:rPr>
          <w:rFonts w:ascii="Arial" w:eastAsia="Arial" w:hAnsi="Arial" w:cs="Arial"/>
          <w:color w:val="808080"/>
          <w:sz w:val="13"/>
          <w:szCs w:val="13"/>
        </w:rPr>
        <w:t xml:space="preserve">Series A Prospectus Supplement dated </w:t>
      </w:r>
      <w:r w:rsidR="00200394" w:rsidRPr="00DF7ED9">
        <w:rPr>
          <w:rFonts w:ascii="Arial" w:eastAsia="Arial" w:hAnsi="Arial" w:cs="Arial"/>
          <w:color w:val="808080"/>
          <w:sz w:val="13"/>
          <w:szCs w:val="13"/>
        </w:rPr>
        <w:t xml:space="preserve">December </w:t>
      </w:r>
      <w:r w:rsidR="00EF0F80">
        <w:rPr>
          <w:rFonts w:ascii="Arial" w:eastAsia="Arial" w:hAnsi="Arial" w:cs="Arial"/>
          <w:color w:val="808080"/>
          <w:sz w:val="13"/>
          <w:szCs w:val="13"/>
        </w:rPr>
        <w:t>8</w:t>
      </w:r>
      <w:r w:rsidR="00200394" w:rsidRPr="00DF7ED9">
        <w:rPr>
          <w:rFonts w:ascii="Arial" w:eastAsia="Arial" w:hAnsi="Arial" w:cs="Arial"/>
          <w:color w:val="808080"/>
          <w:sz w:val="13"/>
          <w:szCs w:val="13"/>
        </w:rPr>
        <w:t>, 202</w:t>
      </w:r>
      <w:r w:rsidR="00EF0F80">
        <w:rPr>
          <w:rFonts w:ascii="Arial" w:eastAsia="Arial" w:hAnsi="Arial" w:cs="Arial"/>
          <w:color w:val="808080"/>
          <w:sz w:val="13"/>
          <w:szCs w:val="13"/>
        </w:rPr>
        <w:t>5</w:t>
      </w:r>
      <w:r w:rsidRPr="00DF7ED9">
        <w:rPr>
          <w:rFonts w:ascii="Arial" w:eastAsia="Arial" w:hAnsi="Arial" w:cs="Arial"/>
          <w:color w:val="808080"/>
          <w:sz w:val="13"/>
          <w:szCs w:val="13"/>
        </w:rPr>
        <w:t xml:space="preserve"> and</w:t>
      </w:r>
    </w:p>
    <w:p w14:paraId="5EE29462" w14:textId="1B77C7C8" w:rsidR="000D73B6" w:rsidRPr="00DF7ED9" w:rsidRDefault="00262AA1" w:rsidP="006B184B">
      <w:pPr>
        <w:pBdr>
          <w:top w:val="none" w:sz="0" w:space="31" w:color="auto"/>
          <w:bottom w:val="none" w:sz="0" w:space="6" w:color="auto"/>
        </w:pBdr>
        <w:ind w:left="590" w:right="792"/>
        <w:jc w:val="right"/>
        <w:rPr>
          <w:rFonts w:ascii="Arial" w:eastAsia="Arial" w:hAnsi="Arial" w:cs="Arial"/>
          <w:color w:val="808080"/>
          <w:sz w:val="13"/>
          <w:szCs w:val="13"/>
        </w:rPr>
      </w:pPr>
      <w:r w:rsidRPr="00DF7ED9">
        <w:rPr>
          <w:noProof/>
          <w:lang w:eastAsia="zh-CN" w:bidi="he-IL"/>
        </w:rPr>
        <mc:AlternateContent>
          <mc:Choice Requires="wps">
            <w:drawing>
              <wp:anchor distT="0" distB="0" distL="114300" distR="114300" simplePos="0" relativeHeight="251659264" behindDoc="0" locked="0" layoutInCell="1" allowOverlap="1" wp14:anchorId="6B8C21AC" wp14:editId="1A30F71E">
                <wp:simplePos x="0" y="0"/>
                <wp:positionH relativeFrom="column">
                  <wp:posOffset>-397821</wp:posOffset>
                </wp:positionH>
                <wp:positionV relativeFrom="paragraph">
                  <wp:posOffset>138370</wp:posOffset>
                </wp:positionV>
                <wp:extent cx="255905" cy="8011160"/>
                <wp:effectExtent l="0" t="0" r="1270" b="0"/>
                <wp:wrapNone/>
                <wp:docPr id="15"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5905" cy="80111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528CC0B" w14:textId="77777777" w:rsidR="00344C6A" w:rsidRDefault="00344C6A" w:rsidP="00262AA1">
                            <w:pPr>
                              <w:pStyle w:val="FontSmallRedLeftGutter"/>
                            </w:pPr>
                            <w:r>
                              <w:rPr>
                                <w:rStyle w:val="Red"/>
                              </w:rPr>
                              <w:t>This pricing supplement, which is not complete and may be changed, relates to an effective Registration Statement under the Securities Act of 1933.  This pricing supplement and the accompanying product supplement, prospectus supplement and prospectus are not an offer to sell these notes in any country or jurisdiction where such an offer would not be permitted.</w:t>
                            </w:r>
                          </w:p>
                          <w:p w14:paraId="59288E1F" w14:textId="77777777" w:rsidR="00344C6A" w:rsidRDefault="00344C6A" w:rsidP="00262AA1"/>
                          <w:p w14:paraId="03E12A16" w14:textId="77777777" w:rsidR="00344C6A" w:rsidRDefault="00344C6A" w:rsidP="00262AA1">
                            <w:pPr>
                              <w:pStyle w:val="FontSmallRedLeftGutter"/>
                            </w:pPr>
                            <w:r>
                              <w:t>This pricing supplement, which is not complete and may be changed, relates to an effective Registration Statement under the Securities Act of 1933. This pricing supplement and the accompanying product supplement, prospectus supplement and prospectus are not an offer to sell these notes in any country or jurisdiction where such an offer would not be permitted.</w:t>
                            </w:r>
                          </w:p>
                        </w:txbxContent>
                      </wps:txbx>
                      <wps:bodyPr rot="0" vert="vert270" wrap="square" lIns="35941" tIns="35941" rIns="0" bIns="0" anchor="b" anchorCtr="0" upright="1">
                        <a:noAutofit/>
                      </wps:bodyPr>
                    </wps:wsp>
                  </a:graphicData>
                </a:graphic>
                <wp14:sizeRelH relativeFrom="page">
                  <wp14:pctWidth>0</wp14:pctWidth>
                </wp14:sizeRelH>
                <wp14:sizeRelV relativeFrom="page">
                  <wp14:pctHeight>0</wp14:pctHeight>
                </wp14:sizeRelV>
              </wp:anchor>
            </w:drawing>
          </mc:Choice>
          <mc:Fallback>
            <w:pict>
              <v:shape w14:anchorId="6B8C21AC" id="_x0000_s1027" type="#_x0000_t202" style="position:absolute;left:0;text-align:left;margin-left:-31.3pt;margin-top:10.9pt;width:20.15pt;height:630.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" stroked="f">
                <v:textbox style="layout-flow:vertical;mso-layout-flow-alt:bottom-to-top" inset="2.83pt,2.83pt,0,0">
                  <w:txbxContent>
                    <w:p w14:paraId="1528CC0B" w14:textId="77777777" w:rsidR="00344C6A" w:rsidRDefault="00344C6A" w:rsidP="00262AA1">
                      <w:pPr>
                        <w:pStyle w:val="FontSmallRedLeftGutter"/>
                      </w:pPr>
                      <w:r>
                        <w:rPr>
                          <w:rStyle w:val="Red"/>
                        </w:rPr>
                        <w:t>This pricing supplement, which is not complete and may be changed, relates to an effective Registration Statement under the Securities Act of 1933.  This pricing supplement and the accompanying product supplement, prospectus supplement and prospectus are not an offer to sell these notes in any country or jurisdiction where such an offer would not be permitted.</w:t>
                      </w:r>
                    </w:p>
                    <w:p w14:paraId="59288E1F" w14:textId="77777777" w:rsidR="00344C6A" w:rsidRDefault="00344C6A" w:rsidP="00262AA1"/>
                    <w:p w14:paraId="03E12A16" w14:textId="77777777" w:rsidR="00344C6A" w:rsidRDefault="00344C6A" w:rsidP="00262AA1">
                      <w:pPr>
                        <w:pStyle w:val="FontSmallRedLeftGutter"/>
                      </w:pPr>
                      <w:r>
                        <w:t>This pricing supplement, which is not complete and may be changed, relates to an effective Registration Statement under the Securities Act of 1933. This pricing supplement and the accompanying product supplement, prospectus supplement and prospectus are not an offer to sell these notes in any country or jurisdiction where such an offer would not be permitted.</w:t>
                      </w:r>
                    </w:p>
                  </w:txbxContent>
                </v:textbox>
              </v:shape>
            </w:pict>
          </mc:Fallback>
        </mc:AlternateContent>
      </w:r>
      <w:r w:rsidR="00C24AAF" w:rsidRPr="00DF7ED9">
        <w:rPr>
          <w:rFonts w:ascii="Arial" w:eastAsia="Arial" w:hAnsi="Arial" w:cs="Arial"/>
          <w:color w:val="808080"/>
          <w:sz w:val="13"/>
          <w:szCs w:val="13"/>
        </w:rPr>
        <w:t xml:space="preserve">Product Supplement EQUITY-1 dated </w:t>
      </w:r>
      <w:r w:rsidR="005129F2" w:rsidRPr="00DF7ED9">
        <w:rPr>
          <w:rFonts w:ascii="Arial" w:eastAsia="Arial" w:hAnsi="Arial" w:cs="Arial"/>
          <w:color w:val="808080"/>
          <w:sz w:val="13"/>
          <w:szCs w:val="13"/>
        </w:rPr>
        <w:t xml:space="preserve">December </w:t>
      </w:r>
      <w:r w:rsidR="00EF0F80">
        <w:rPr>
          <w:rFonts w:ascii="Arial" w:eastAsia="Arial" w:hAnsi="Arial" w:cs="Arial"/>
          <w:color w:val="808080"/>
          <w:sz w:val="13"/>
          <w:szCs w:val="13"/>
        </w:rPr>
        <w:t>8</w:t>
      </w:r>
      <w:r w:rsidR="005129F2" w:rsidRPr="00DF7ED9">
        <w:rPr>
          <w:rFonts w:ascii="Arial" w:eastAsia="Arial" w:hAnsi="Arial" w:cs="Arial"/>
          <w:color w:val="808080"/>
          <w:sz w:val="13"/>
          <w:szCs w:val="13"/>
        </w:rPr>
        <w:t>, 202</w:t>
      </w:r>
      <w:r w:rsidR="00EF0F80">
        <w:rPr>
          <w:rFonts w:ascii="Arial" w:eastAsia="Arial" w:hAnsi="Arial" w:cs="Arial"/>
          <w:color w:val="808080"/>
          <w:sz w:val="13"/>
          <w:szCs w:val="13"/>
        </w:rPr>
        <w:t>5</w:t>
      </w:r>
      <w:r w:rsidR="00C24AAF" w:rsidRPr="00DF7ED9">
        <w:rPr>
          <w:rFonts w:ascii="Arial" w:eastAsia="Arial" w:hAnsi="Arial" w:cs="Arial"/>
          <w:color w:val="808080"/>
          <w:sz w:val="13"/>
          <w:szCs w:val="13"/>
        </w:rPr>
        <w:t>)</w:t>
      </w:r>
    </w:p>
    <w:p w14:paraId="3563577B" w14:textId="186DFE58" w:rsidR="000D73B6" w:rsidRPr="00DF7ED9" w:rsidRDefault="00C24AAF" w:rsidP="006B184B">
      <w:pPr>
        <w:pBdr>
          <w:top w:val="none" w:sz="0" w:space="31" w:color="auto"/>
          <w:bottom w:val="none" w:sz="0" w:space="6" w:color="auto"/>
        </w:pBdr>
        <w:ind w:left="590" w:right="792"/>
        <w:jc w:val="right"/>
        <w:rPr>
          <w:rFonts w:ascii="Arial" w:eastAsia="Arial" w:hAnsi="Arial" w:cs="Arial"/>
          <w:color w:val="808080"/>
          <w:sz w:val="13"/>
          <w:szCs w:val="13"/>
        </w:rPr>
      </w:pPr>
      <w:r w:rsidRPr="00DF7ED9">
        <w:rPr>
          <w:rFonts w:ascii="Arial" w:eastAsia="Arial" w:hAnsi="Arial" w:cs="Arial"/>
          <w:color w:val="808080"/>
          <w:sz w:val="13"/>
          <w:szCs w:val="13"/>
        </w:rPr>
        <w:t>Filed Pursuant to Rule 424(b)(2)</w:t>
      </w:r>
    </w:p>
    <w:p w14:paraId="25535AAF" w14:textId="650013A3" w:rsidR="004720CE" w:rsidRPr="00DF7ED9" w:rsidRDefault="00C24AAF" w:rsidP="006B184B">
      <w:pPr>
        <w:pBdr>
          <w:top w:val="none" w:sz="0" w:space="31" w:color="auto"/>
          <w:bottom w:val="none" w:sz="0" w:space="6" w:color="auto"/>
        </w:pBdr>
        <w:ind w:left="590" w:right="792"/>
        <w:contextualSpacing/>
        <w:jc w:val="right"/>
        <w:rPr>
          <w:rFonts w:ascii="Arial" w:eastAsia="Arial" w:hAnsi="Arial" w:cs="Arial"/>
          <w:color w:val="808080"/>
          <w:sz w:val="13"/>
          <w:szCs w:val="13"/>
        </w:rPr>
      </w:pPr>
      <w:r w:rsidRPr="00DF7ED9">
        <w:rPr>
          <w:rFonts w:ascii="Arial" w:eastAsia="Arial" w:hAnsi="Arial" w:cs="Arial"/>
          <w:color w:val="808080"/>
          <w:sz w:val="13"/>
          <w:szCs w:val="13"/>
        </w:rPr>
        <w:t>Registration Statement No</w:t>
      </w:r>
      <w:r w:rsidR="005129F2" w:rsidRPr="00DF7ED9">
        <w:rPr>
          <w:rFonts w:ascii="Arial" w:eastAsia="Arial" w:hAnsi="Arial" w:cs="Arial"/>
          <w:color w:val="808080"/>
          <w:sz w:val="13"/>
          <w:szCs w:val="13"/>
        </w:rPr>
        <w:t>s</w:t>
      </w:r>
      <w:r w:rsidRPr="00DF7ED9">
        <w:rPr>
          <w:rFonts w:ascii="Arial" w:eastAsia="Arial" w:hAnsi="Arial" w:cs="Arial"/>
          <w:color w:val="808080"/>
          <w:sz w:val="13"/>
          <w:szCs w:val="13"/>
        </w:rPr>
        <w:t>. 333-</w:t>
      </w:r>
      <w:r w:rsidR="00EF0F80" w:rsidRPr="006441B4">
        <w:rPr>
          <w:rFonts w:ascii="Arial" w:eastAsia="Arial" w:hAnsi="Arial" w:cs="Arial"/>
          <w:color w:val="808080"/>
          <w:sz w:val="13"/>
          <w:szCs w:val="13"/>
        </w:rPr>
        <w:t>290665</w:t>
      </w:r>
      <w:r w:rsidR="005129F2" w:rsidRPr="00DF7ED9">
        <w:rPr>
          <w:rFonts w:ascii="Arial" w:eastAsia="Arial" w:hAnsi="Arial" w:cs="Arial"/>
          <w:color w:val="808080"/>
          <w:sz w:val="13"/>
          <w:szCs w:val="13"/>
        </w:rPr>
        <w:t xml:space="preserve"> and 333-</w:t>
      </w:r>
      <w:r w:rsidR="00EF0F80" w:rsidRPr="006441B4">
        <w:rPr>
          <w:rFonts w:ascii="Arial" w:eastAsia="Arial" w:hAnsi="Arial" w:cs="Arial"/>
          <w:color w:val="808080"/>
          <w:sz w:val="13"/>
          <w:szCs w:val="13"/>
        </w:rPr>
        <w:t>290665</w:t>
      </w:r>
      <w:r w:rsidR="003613A5" w:rsidRPr="00DF7ED9">
        <w:rPr>
          <w:rFonts w:ascii="Arial" w:eastAsia="Arial" w:hAnsi="Arial" w:cs="Arial"/>
          <w:color w:val="808080"/>
          <w:sz w:val="13"/>
          <w:szCs w:val="13"/>
        </w:rPr>
        <w:t>-01</w:t>
      </w:r>
      <w:bookmarkStart w:id="0" w:name="SWStart"/>
      <w:bookmarkStart w:id="1" w:name="_Hlk121404794"/>
      <w:bookmarkEnd w:id="0"/>
    </w:p>
    <w:p w14:paraId="38D81403" w14:textId="77777777" w:rsidR="004720CE" w:rsidRPr="00DF7ED9" w:rsidRDefault="00C24AAF" w:rsidP="006B184B">
      <w:pPr>
        <w:pBdr>
          <w:top w:val="none" w:sz="0" w:space="31" w:color="auto"/>
          <w:bottom w:val="none" w:sz="0" w:space="6" w:color="auto"/>
        </w:pBdr>
        <w:ind w:left="590" w:right="792"/>
        <w:contextualSpacing/>
        <w:rPr>
          <w:rFonts w:ascii="Arial" w:eastAsia="Arial" w:hAnsi="Arial" w:cs="Arial"/>
          <w:color w:val="595959"/>
          <w:sz w:val="28"/>
          <w:szCs w:val="28"/>
        </w:rPr>
      </w:pPr>
      <w:r w:rsidRPr="00DF7ED9">
        <w:rPr>
          <w:rFonts w:ascii="Arial" w:eastAsia="Arial" w:hAnsi="Arial" w:cs="Arial"/>
          <w:caps/>
          <w:color w:val="595959"/>
          <w:sz w:val="28"/>
          <w:szCs w:val="28"/>
        </w:rPr>
        <w:t>B</w:t>
      </w:r>
      <w:r w:rsidRPr="00DF7ED9">
        <w:rPr>
          <w:rFonts w:ascii="Arial" w:eastAsia="Arial" w:hAnsi="Arial" w:cs="Arial"/>
          <w:color w:val="595959"/>
          <w:sz w:val="28"/>
          <w:szCs w:val="28"/>
        </w:rPr>
        <w:t>ofA Finance LLC</w:t>
      </w:r>
      <w:bookmarkEnd w:id="1"/>
      <w:r w:rsidR="00D50104" w:rsidRPr="00DF7ED9">
        <w:rPr>
          <w:rFonts w:ascii="Arial" w:eastAsia="Arial" w:hAnsi="Arial" w:cs="Arial"/>
          <w:color w:val="595959"/>
          <w:sz w:val="28"/>
          <w:szCs w:val="28"/>
        </w:rPr>
        <w:t xml:space="preserve"> </w:t>
      </w:r>
    </w:p>
    <w:p w14:paraId="56760C92" w14:textId="77777777" w:rsidR="004720CE" w:rsidRPr="00DF7ED9" w:rsidRDefault="00C24AAF" w:rsidP="006B184B">
      <w:pPr>
        <w:pBdr>
          <w:top w:val="none" w:sz="0" w:space="31" w:color="auto"/>
          <w:bottom w:val="none" w:sz="0" w:space="6" w:color="auto"/>
        </w:pBdr>
        <w:ind w:left="590" w:right="792"/>
        <w:contextualSpacing/>
        <w:rPr>
          <w:rFonts w:ascii="Arial" w:eastAsia="Arial" w:hAnsi="Arial" w:cs="Arial"/>
          <w:caps/>
          <w:color w:val="296DC1"/>
        </w:rPr>
      </w:pPr>
      <w:r w:rsidRPr="00DF7ED9">
        <w:rPr>
          <w:rFonts w:ascii="Arial" w:eastAsia="Arial" w:hAnsi="Arial" w:cs="Arial"/>
          <w:caps/>
          <w:color w:val="296DC1"/>
        </w:rPr>
        <w:t>Structured Investments</w:t>
      </w:r>
      <w:r w:rsidR="00D50104" w:rsidRPr="00DF7ED9">
        <w:rPr>
          <w:rFonts w:ascii="Arial" w:eastAsia="Arial" w:hAnsi="Arial" w:cs="Arial"/>
          <w:caps/>
          <w:color w:val="296DC1"/>
        </w:rPr>
        <w:t xml:space="preserve"> </w:t>
      </w:r>
    </w:p>
    <w:p w14:paraId="44C2C846" w14:textId="77777777" w:rsidR="004720CE" w:rsidRPr="00DF7ED9" w:rsidRDefault="00C24AAF" w:rsidP="006B184B">
      <w:pPr>
        <w:pBdr>
          <w:top w:val="none" w:sz="0" w:space="31" w:color="auto"/>
          <w:bottom w:val="none" w:sz="0" w:space="6" w:color="auto"/>
        </w:pBdr>
        <w:ind w:left="590" w:right="792"/>
        <w:contextualSpacing/>
        <w:rPr>
          <w:rFonts w:ascii="Arial" w:eastAsia="Arial" w:hAnsi="Arial" w:cs="Arial"/>
          <w:color w:val="296DC1"/>
          <w:sz w:val="18"/>
          <w:szCs w:val="18"/>
        </w:rPr>
      </w:pPr>
      <w:r w:rsidRPr="00DF7ED9">
        <w:rPr>
          <w:rFonts w:ascii="Arial" w:eastAsia="Arial" w:hAnsi="Arial" w:cs="Arial"/>
          <w:color w:val="296DC1"/>
          <w:sz w:val="18"/>
          <w:szCs w:val="18"/>
        </w:rPr>
        <w:t>Opportunities in U.S. Equities</w:t>
      </w:r>
      <w:r w:rsidR="00D50104" w:rsidRPr="00DF7ED9">
        <w:rPr>
          <w:rFonts w:ascii="Arial" w:eastAsia="Arial" w:hAnsi="Arial" w:cs="Arial"/>
          <w:color w:val="296DC1"/>
          <w:sz w:val="18"/>
          <w:szCs w:val="18"/>
        </w:rPr>
        <w:t xml:space="preserve"> </w:t>
      </w:r>
    </w:p>
    <w:p w14:paraId="14B73763" w14:textId="6A34673A" w:rsidR="004720CE" w:rsidRPr="00DF7ED9" w:rsidRDefault="009A5D89" w:rsidP="006B184B">
      <w:pPr>
        <w:pBdr>
          <w:top w:val="none" w:sz="0" w:space="31" w:color="auto"/>
          <w:bottom w:val="none" w:sz="0" w:space="6" w:color="auto"/>
        </w:pBdr>
        <w:ind w:left="590" w:right="792"/>
        <w:contextualSpacing/>
        <w:rPr>
          <w:rFonts w:ascii="Arial" w:eastAsia="Arial" w:hAnsi="Arial" w:cs="Arial"/>
          <w:color w:val="808080"/>
          <w:sz w:val="16"/>
          <w:szCs w:val="16"/>
        </w:rPr>
      </w:pPr>
      <w:r>
        <w:rPr>
          <w:rFonts w:ascii="Arial" w:eastAsia="Arial" w:hAnsi="Arial" w:cs="Arial"/>
          <w:color w:val="296DC1"/>
          <w:sz w:val="20"/>
          <w:szCs w:val="20"/>
        </w:rPr>
        <w:t>$3,9</w:t>
      </w:r>
      <w:r w:rsidR="00B17586">
        <w:rPr>
          <w:rFonts w:ascii="Arial" w:eastAsia="Arial" w:hAnsi="Arial" w:cs="Arial"/>
          <w:color w:val="296DC1"/>
          <w:sz w:val="20"/>
          <w:szCs w:val="20"/>
        </w:rPr>
        <w:t>89</w:t>
      </w:r>
      <w:r>
        <w:rPr>
          <w:rFonts w:ascii="Arial" w:eastAsia="Arial" w:hAnsi="Arial" w:cs="Arial"/>
          <w:color w:val="296DC1"/>
          <w:sz w:val="20"/>
          <w:szCs w:val="20"/>
        </w:rPr>
        <w:t xml:space="preserve">,000 </w:t>
      </w:r>
      <w:r w:rsidR="00C24AAF" w:rsidRPr="00DF7ED9">
        <w:rPr>
          <w:rFonts w:ascii="Arial" w:eastAsia="Arial" w:hAnsi="Arial" w:cs="Arial"/>
          <w:color w:val="296DC1"/>
          <w:sz w:val="20"/>
          <w:szCs w:val="20"/>
        </w:rPr>
        <w:t xml:space="preserve">Callable Contingent Income Securities due </w:t>
      </w:r>
      <w:r w:rsidR="00290387">
        <w:rPr>
          <w:rFonts w:ascii="Arial" w:eastAsia="Arial" w:hAnsi="Arial" w:cs="Arial"/>
          <w:color w:val="296DC1"/>
          <w:sz w:val="20"/>
          <w:szCs w:val="20"/>
        </w:rPr>
        <w:t>February 25, 2028</w:t>
      </w:r>
      <w:r w:rsidR="00C24AAF" w:rsidRPr="00DF7ED9">
        <w:rPr>
          <w:rFonts w:ascii="Arial" w:eastAsia="Arial" w:hAnsi="Arial" w:cs="Arial"/>
          <w:color w:val="296DC1"/>
        </w:rPr>
        <w:br/>
      </w:r>
      <w:r w:rsidR="00C24AAF" w:rsidRPr="00DF7ED9">
        <w:rPr>
          <w:rFonts w:ascii="Arial" w:eastAsia="Arial" w:hAnsi="Arial" w:cs="Arial"/>
          <w:b/>
          <w:bCs/>
          <w:color w:val="808080"/>
          <w:sz w:val="16"/>
          <w:szCs w:val="16"/>
        </w:rPr>
        <w:t>All Payments on the Securities Based on the Performance of the S&amp;P 500</w:t>
      </w:r>
      <w:r w:rsidR="00C24AAF" w:rsidRPr="00DF7ED9">
        <w:rPr>
          <w:rFonts w:ascii="Arial" w:eastAsia="Arial" w:hAnsi="Arial" w:cs="Arial"/>
          <w:b/>
          <w:bCs/>
          <w:color w:val="808080"/>
          <w:sz w:val="16"/>
          <w:szCs w:val="16"/>
          <w:vertAlign w:val="superscript"/>
        </w:rPr>
        <w:t>®</w:t>
      </w:r>
      <w:r w:rsidR="00C24AAF" w:rsidRPr="00DF7ED9">
        <w:rPr>
          <w:rFonts w:ascii="Arial" w:eastAsia="Arial" w:hAnsi="Arial" w:cs="Arial"/>
          <w:b/>
          <w:bCs/>
          <w:color w:val="808080"/>
          <w:sz w:val="16"/>
          <w:szCs w:val="16"/>
        </w:rPr>
        <w:t xml:space="preserve"> Index</w:t>
      </w:r>
      <w:r w:rsidR="00C24AAF" w:rsidRPr="00DF7ED9">
        <w:rPr>
          <w:rFonts w:ascii="Arial" w:eastAsia="Arial" w:hAnsi="Arial" w:cs="Arial"/>
          <w:color w:val="808080"/>
          <w:sz w:val="16"/>
          <w:szCs w:val="16"/>
        </w:rPr>
        <w:t> </w:t>
      </w:r>
      <w:r w:rsidR="00D50104" w:rsidRPr="00DF7ED9">
        <w:rPr>
          <w:rFonts w:ascii="Arial" w:eastAsia="Arial" w:hAnsi="Arial" w:cs="Arial"/>
          <w:color w:val="808080"/>
          <w:sz w:val="16"/>
          <w:szCs w:val="16"/>
        </w:rPr>
        <w:t xml:space="preserve"> </w:t>
      </w:r>
    </w:p>
    <w:p w14:paraId="06A2EF93" w14:textId="77777777" w:rsidR="004720CE" w:rsidRPr="00DF7ED9" w:rsidRDefault="00C24AAF" w:rsidP="006B184B">
      <w:pPr>
        <w:pBdr>
          <w:top w:val="none" w:sz="0" w:space="31" w:color="auto"/>
          <w:bottom w:val="none" w:sz="0" w:space="6" w:color="auto"/>
        </w:pBdr>
        <w:ind w:left="590" w:right="792"/>
        <w:contextualSpacing/>
        <w:rPr>
          <w:rFonts w:ascii="Arial" w:eastAsia="Arial" w:hAnsi="Arial" w:cs="Arial"/>
          <w:b/>
          <w:bCs/>
          <w:color w:val="808080"/>
          <w:sz w:val="15"/>
          <w:szCs w:val="15"/>
        </w:rPr>
      </w:pPr>
      <w:r w:rsidRPr="00DF7ED9">
        <w:rPr>
          <w:rFonts w:ascii="Arial" w:eastAsia="Arial" w:hAnsi="Arial" w:cs="Arial"/>
          <w:b/>
          <w:bCs/>
          <w:color w:val="808080"/>
          <w:sz w:val="15"/>
          <w:szCs w:val="15"/>
        </w:rPr>
        <w:t>Fully and Unconditionally Guaranteed by Bank of America Corporation</w:t>
      </w:r>
      <w:r w:rsidR="00D50104" w:rsidRPr="00DF7ED9">
        <w:rPr>
          <w:rFonts w:ascii="Arial" w:eastAsia="Arial" w:hAnsi="Arial" w:cs="Arial"/>
          <w:b/>
          <w:bCs/>
          <w:color w:val="808080"/>
          <w:sz w:val="15"/>
          <w:szCs w:val="15"/>
        </w:rPr>
        <w:t xml:space="preserve"> </w:t>
      </w:r>
    </w:p>
    <w:p w14:paraId="5F036385" w14:textId="77777777" w:rsidR="004720CE" w:rsidRPr="00DF7ED9" w:rsidRDefault="00C24AAF" w:rsidP="006B184B">
      <w:pPr>
        <w:pBdr>
          <w:top w:val="none" w:sz="0" w:space="31" w:color="auto"/>
          <w:bottom w:val="none" w:sz="0" w:space="6" w:color="auto"/>
        </w:pBdr>
        <w:ind w:left="590" w:right="792"/>
        <w:contextualSpacing/>
        <w:rPr>
          <w:rFonts w:ascii="Arial" w:eastAsia="Arial" w:hAnsi="Arial" w:cs="Arial"/>
          <w:b/>
          <w:bCs/>
          <w:color w:val="808080"/>
          <w:sz w:val="13"/>
          <w:szCs w:val="13"/>
        </w:rPr>
      </w:pPr>
      <w:r w:rsidRPr="00DF7ED9">
        <w:rPr>
          <w:rFonts w:ascii="Arial" w:eastAsia="Arial" w:hAnsi="Arial" w:cs="Arial"/>
          <w:b/>
          <w:bCs/>
          <w:color w:val="808080"/>
          <w:sz w:val="13"/>
          <w:szCs w:val="13"/>
        </w:rPr>
        <w:t>Principal at Risk Securities</w:t>
      </w:r>
      <w:r w:rsidR="00D50104" w:rsidRPr="00DF7ED9">
        <w:rPr>
          <w:rFonts w:ascii="Arial" w:eastAsia="Arial" w:hAnsi="Arial" w:cs="Arial"/>
          <w:b/>
          <w:bCs/>
          <w:color w:val="808080"/>
          <w:sz w:val="13"/>
          <w:szCs w:val="13"/>
        </w:rPr>
        <w:t xml:space="preserve"> </w:t>
      </w:r>
    </w:p>
    <w:p w14:paraId="46291176" w14:textId="7646B7D8" w:rsidR="004720CE" w:rsidRPr="00C57DF0" w:rsidRDefault="00C24AAF" w:rsidP="006B184B">
      <w:pPr>
        <w:pBdr>
          <w:top w:val="none" w:sz="0" w:space="31" w:color="auto"/>
          <w:bottom w:val="none" w:sz="0" w:space="6" w:color="auto"/>
        </w:pBdr>
        <w:ind w:left="590" w:right="792"/>
        <w:contextualSpacing/>
        <w:rPr>
          <w:rFonts w:ascii="Arial" w:eastAsia="Arial" w:hAnsi="Arial" w:cs="Arial"/>
          <w:sz w:val="12"/>
          <w:szCs w:val="12"/>
        </w:rPr>
      </w:pPr>
      <w:r w:rsidRPr="00C57DF0">
        <w:rPr>
          <w:rFonts w:ascii="Arial" w:eastAsia="Arial" w:hAnsi="Arial" w:cs="Arial"/>
          <w:sz w:val="12"/>
          <w:szCs w:val="12"/>
        </w:rPr>
        <w:t xml:space="preserve">Unlike ordinary debt securities, the Callable Contingent Income Securities due </w:t>
      </w:r>
      <w:r w:rsidR="00290387">
        <w:rPr>
          <w:rFonts w:ascii="Arial" w:eastAsia="Arial" w:hAnsi="Arial" w:cs="Arial"/>
          <w:sz w:val="12"/>
          <w:szCs w:val="12"/>
        </w:rPr>
        <w:t>February 25, 2028</w:t>
      </w:r>
      <w:r w:rsidRPr="00C57DF0">
        <w:rPr>
          <w:rFonts w:ascii="Arial" w:eastAsia="Arial" w:hAnsi="Arial" w:cs="Arial"/>
          <w:sz w:val="12"/>
          <w:szCs w:val="12"/>
        </w:rPr>
        <w:t xml:space="preserve"> </w:t>
      </w:r>
      <w:r w:rsidR="007B7C5A" w:rsidRPr="00C57DF0">
        <w:rPr>
          <w:rFonts w:ascii="Arial" w:eastAsia="Arial" w:hAnsi="Arial" w:cs="Arial"/>
          <w:sz w:val="12"/>
          <w:szCs w:val="12"/>
        </w:rPr>
        <w:t xml:space="preserve">All Payments on the Securities </w:t>
      </w:r>
      <w:r w:rsidRPr="00C57DF0">
        <w:rPr>
          <w:rFonts w:ascii="Arial" w:eastAsia="Arial" w:hAnsi="Arial" w:cs="Arial"/>
          <w:sz w:val="12"/>
          <w:szCs w:val="12"/>
        </w:rPr>
        <w:t>Based on the Performance of the S&amp;P 500</w:t>
      </w:r>
      <w:r w:rsidRPr="00C57DF0">
        <w:rPr>
          <w:rFonts w:ascii="Arial" w:eastAsia="Arial" w:hAnsi="Arial" w:cs="Arial"/>
          <w:sz w:val="12"/>
          <w:szCs w:val="12"/>
          <w:vertAlign w:val="superscript"/>
        </w:rPr>
        <w:t>®</w:t>
      </w:r>
      <w:r w:rsidRPr="00C57DF0">
        <w:rPr>
          <w:rFonts w:ascii="Arial" w:eastAsia="Arial" w:hAnsi="Arial" w:cs="Arial"/>
          <w:sz w:val="12"/>
          <w:szCs w:val="12"/>
        </w:rPr>
        <w:t xml:space="preserve"> Index, which we refer to as the securities, do not provide for the regular payment of interest or guarantee the return of any principal at maturity.  Instead, the securities offer the opportunity for investors to earn a contingent quarterly coupon </w:t>
      </w:r>
      <w:r w:rsidRPr="00C57DF0">
        <w:rPr>
          <w:rFonts w:ascii="Arial" w:eastAsia="Arial" w:hAnsi="Arial" w:cs="Arial"/>
          <w:b/>
          <w:bCs/>
          <w:sz w:val="12"/>
          <w:szCs w:val="12"/>
        </w:rPr>
        <w:t>but</w:t>
      </w:r>
      <w:r w:rsidRPr="00C57DF0">
        <w:rPr>
          <w:rFonts w:ascii="Arial" w:eastAsia="Arial" w:hAnsi="Arial" w:cs="Arial"/>
          <w:sz w:val="12"/>
          <w:szCs w:val="12"/>
        </w:rPr>
        <w:t> </w:t>
      </w:r>
      <w:r w:rsidRPr="00C57DF0">
        <w:rPr>
          <w:rFonts w:ascii="Arial" w:eastAsia="Arial" w:hAnsi="Arial" w:cs="Arial"/>
          <w:b/>
          <w:bCs/>
          <w:sz w:val="12"/>
          <w:szCs w:val="12"/>
        </w:rPr>
        <w:t>only if</w:t>
      </w:r>
      <w:r w:rsidRPr="00C57DF0">
        <w:rPr>
          <w:rFonts w:ascii="Arial" w:eastAsia="Arial" w:hAnsi="Arial" w:cs="Arial"/>
          <w:sz w:val="12"/>
          <w:szCs w:val="12"/>
        </w:rPr>
        <w:t xml:space="preserve"> the </w:t>
      </w:r>
      <w:r w:rsidR="004B51F0" w:rsidRPr="00C57DF0">
        <w:rPr>
          <w:rFonts w:ascii="Arial" w:eastAsia="Arial" w:hAnsi="Arial" w:cs="Arial"/>
          <w:sz w:val="12"/>
          <w:szCs w:val="12"/>
        </w:rPr>
        <w:t>index closing value</w:t>
      </w:r>
      <w:r w:rsidRPr="00C57DF0">
        <w:rPr>
          <w:rFonts w:ascii="Arial" w:eastAsia="Arial" w:hAnsi="Arial" w:cs="Arial"/>
          <w:sz w:val="12"/>
          <w:szCs w:val="12"/>
        </w:rPr>
        <w:t xml:space="preserve"> of the S&amp;P 500</w:t>
      </w:r>
      <w:r w:rsidRPr="00C57DF0">
        <w:rPr>
          <w:rFonts w:ascii="Arial" w:eastAsia="Arial" w:hAnsi="Arial" w:cs="Arial"/>
          <w:sz w:val="12"/>
          <w:szCs w:val="12"/>
          <w:vertAlign w:val="superscript"/>
        </w:rPr>
        <w:t>®</w:t>
      </w:r>
      <w:r w:rsidRPr="00C57DF0">
        <w:rPr>
          <w:rFonts w:ascii="Arial" w:eastAsia="Arial" w:hAnsi="Arial" w:cs="Arial"/>
          <w:sz w:val="12"/>
          <w:szCs w:val="12"/>
        </w:rPr>
        <w:t xml:space="preserve"> Index on the applicable quarterly observation date is greater than or equal to </w:t>
      </w:r>
      <w:r w:rsidR="00B66851" w:rsidRPr="00C57DF0">
        <w:rPr>
          <w:rFonts w:ascii="Arial" w:eastAsia="Arial" w:hAnsi="Arial" w:cs="Arial"/>
          <w:sz w:val="12"/>
          <w:szCs w:val="12"/>
        </w:rPr>
        <w:t>80</w:t>
      </w:r>
      <w:r w:rsidR="00D56F33" w:rsidRPr="00C57DF0">
        <w:rPr>
          <w:rFonts w:ascii="Arial" w:eastAsia="Arial" w:hAnsi="Arial" w:cs="Arial"/>
          <w:sz w:val="12"/>
          <w:szCs w:val="12"/>
        </w:rPr>
        <w:t>%</w:t>
      </w:r>
      <w:r w:rsidRPr="00C57DF0">
        <w:rPr>
          <w:rFonts w:ascii="Arial" w:eastAsia="Arial" w:hAnsi="Arial" w:cs="Arial"/>
          <w:sz w:val="12"/>
          <w:szCs w:val="12"/>
        </w:rPr>
        <w:t xml:space="preserve"> of the </w:t>
      </w:r>
      <w:r w:rsidR="00B07BDF" w:rsidRPr="00C57DF0">
        <w:rPr>
          <w:rFonts w:ascii="Arial" w:eastAsia="Arial" w:hAnsi="Arial" w:cs="Arial"/>
          <w:sz w:val="12"/>
          <w:szCs w:val="12"/>
        </w:rPr>
        <w:t>initial index value</w:t>
      </w:r>
      <w:r w:rsidRPr="00C57DF0">
        <w:rPr>
          <w:rFonts w:ascii="Arial" w:eastAsia="Arial" w:hAnsi="Arial" w:cs="Arial"/>
          <w:sz w:val="12"/>
          <w:szCs w:val="12"/>
        </w:rPr>
        <w:t xml:space="preserve">, which we refer to as the coupon barrier level.  If the </w:t>
      </w:r>
      <w:r w:rsidR="004B51F0" w:rsidRPr="00C57DF0">
        <w:rPr>
          <w:rFonts w:ascii="Arial" w:eastAsia="Arial" w:hAnsi="Arial" w:cs="Arial"/>
          <w:sz w:val="12"/>
          <w:szCs w:val="12"/>
        </w:rPr>
        <w:t>index closing value</w:t>
      </w:r>
      <w:r w:rsidRPr="00C57DF0">
        <w:rPr>
          <w:rFonts w:ascii="Arial" w:eastAsia="Arial" w:hAnsi="Arial" w:cs="Arial"/>
          <w:sz w:val="12"/>
          <w:szCs w:val="12"/>
        </w:rPr>
        <w:t xml:space="preserve"> is less than the coupon barrier level on any observation date, you will not receive any contingent quarterly coupon for that quarterly period.  As a result, investors must be willing to accept the risk of not receiving any contingent quarterly coupon during the entire 2-year term of the securities. In addition, beginning on </w:t>
      </w:r>
      <w:r w:rsidR="00290387">
        <w:rPr>
          <w:rFonts w:ascii="Arial" w:eastAsia="Arial" w:hAnsi="Arial" w:cs="Arial"/>
          <w:sz w:val="12"/>
          <w:szCs w:val="12"/>
        </w:rPr>
        <w:t>May 26, 2026</w:t>
      </w:r>
      <w:r w:rsidRPr="00C57DF0">
        <w:rPr>
          <w:rFonts w:ascii="Arial" w:eastAsia="Arial" w:hAnsi="Arial" w:cs="Arial"/>
          <w:sz w:val="12"/>
          <w:szCs w:val="12"/>
        </w:rPr>
        <w:t xml:space="preserve">, </w:t>
      </w:r>
      <w:r w:rsidRPr="00C57DF0">
        <w:rPr>
          <w:rFonts w:ascii="Arial" w:eastAsia="Arial" w:hAnsi="Arial" w:cs="Arial"/>
          <w:b/>
          <w:bCs/>
          <w:sz w:val="12"/>
          <w:szCs w:val="12"/>
        </w:rPr>
        <w:t>we will have the right to redeem the securities at our discretion on any quarterly redemption date</w:t>
      </w:r>
      <w:r w:rsidRPr="00C57DF0">
        <w:rPr>
          <w:rFonts w:ascii="Arial" w:eastAsia="Arial" w:hAnsi="Arial" w:cs="Arial"/>
          <w:sz w:val="12"/>
          <w:szCs w:val="12"/>
        </w:rPr>
        <w:t xml:space="preserve"> for a redemption payment equal to the sum of the stated principal amount plus any contingent quarterly coupon otherwise due with respect to the related observation date.  An early redemption of the securities will not automatically occur based on the performance of the </w:t>
      </w:r>
      <w:r w:rsidR="004B51F0" w:rsidRPr="00C57DF0">
        <w:rPr>
          <w:rFonts w:ascii="Arial" w:eastAsia="Arial" w:hAnsi="Arial" w:cs="Arial"/>
          <w:sz w:val="12"/>
          <w:szCs w:val="12"/>
        </w:rPr>
        <w:t>underlying index</w:t>
      </w:r>
      <w:r w:rsidRPr="00C57DF0">
        <w:rPr>
          <w:rFonts w:ascii="Arial" w:eastAsia="Arial" w:hAnsi="Arial" w:cs="Arial"/>
          <w:sz w:val="12"/>
          <w:szCs w:val="12"/>
        </w:rPr>
        <w:t xml:space="preserve">.  At maturity, if the securities have not previously been redeemed and the </w:t>
      </w:r>
      <w:r w:rsidR="00B07BDF" w:rsidRPr="00C57DF0">
        <w:rPr>
          <w:rFonts w:ascii="Arial" w:eastAsia="Arial" w:hAnsi="Arial" w:cs="Arial"/>
          <w:sz w:val="12"/>
          <w:szCs w:val="12"/>
        </w:rPr>
        <w:t>final index value</w:t>
      </w:r>
      <w:r w:rsidRPr="00C57DF0">
        <w:rPr>
          <w:rFonts w:ascii="Arial" w:eastAsia="Arial" w:hAnsi="Arial" w:cs="Arial"/>
          <w:sz w:val="12"/>
          <w:szCs w:val="12"/>
        </w:rPr>
        <w:t xml:space="preserve"> is greater than or equal to </w:t>
      </w:r>
      <w:r w:rsidR="00B66851" w:rsidRPr="00C57DF0">
        <w:rPr>
          <w:rFonts w:ascii="Arial" w:eastAsia="Arial" w:hAnsi="Arial" w:cs="Arial"/>
          <w:sz w:val="12"/>
          <w:szCs w:val="12"/>
        </w:rPr>
        <w:t>80</w:t>
      </w:r>
      <w:r w:rsidR="00D56F33" w:rsidRPr="00C57DF0">
        <w:rPr>
          <w:rFonts w:ascii="Arial" w:eastAsia="Arial" w:hAnsi="Arial" w:cs="Arial"/>
          <w:sz w:val="12"/>
          <w:szCs w:val="12"/>
        </w:rPr>
        <w:t>%</w:t>
      </w:r>
      <w:r w:rsidRPr="00C57DF0">
        <w:rPr>
          <w:rFonts w:ascii="Arial" w:eastAsia="Arial" w:hAnsi="Arial" w:cs="Arial"/>
          <w:sz w:val="12"/>
          <w:szCs w:val="12"/>
        </w:rPr>
        <w:t xml:space="preserve"> of the </w:t>
      </w:r>
      <w:r w:rsidR="00B07BDF" w:rsidRPr="00C57DF0">
        <w:rPr>
          <w:rFonts w:ascii="Arial" w:eastAsia="Arial" w:hAnsi="Arial" w:cs="Arial"/>
          <w:sz w:val="12"/>
          <w:szCs w:val="12"/>
        </w:rPr>
        <w:t>initial index value</w:t>
      </w:r>
      <w:r w:rsidRPr="00C57DF0">
        <w:rPr>
          <w:rFonts w:ascii="Arial" w:eastAsia="Arial" w:hAnsi="Arial" w:cs="Arial"/>
          <w:sz w:val="12"/>
          <w:szCs w:val="12"/>
        </w:rPr>
        <w:t xml:space="preserve">, which we refer to as the downside threshold level, investors will receive the stated principal amount of the securities and the contingent quarterly coupon with respect to the final observation date.  However, if the </w:t>
      </w:r>
      <w:r w:rsidR="00B07BDF" w:rsidRPr="00C57DF0">
        <w:rPr>
          <w:rFonts w:ascii="Arial" w:eastAsia="Arial" w:hAnsi="Arial" w:cs="Arial"/>
          <w:sz w:val="12"/>
          <w:szCs w:val="12"/>
        </w:rPr>
        <w:t>final index value</w:t>
      </w:r>
      <w:r w:rsidRPr="00C57DF0">
        <w:rPr>
          <w:rFonts w:ascii="Arial" w:eastAsia="Arial" w:hAnsi="Arial" w:cs="Arial"/>
          <w:sz w:val="12"/>
          <w:szCs w:val="12"/>
        </w:rPr>
        <w:t xml:space="preserve"> is less than the downside threshold level, investors will be fully exposed to the decline in the value of the S&amp;P 500</w:t>
      </w:r>
      <w:r w:rsidRPr="00C57DF0">
        <w:rPr>
          <w:rFonts w:ascii="Arial" w:eastAsia="Arial" w:hAnsi="Arial" w:cs="Arial"/>
          <w:sz w:val="12"/>
          <w:szCs w:val="12"/>
          <w:vertAlign w:val="superscript"/>
        </w:rPr>
        <w:t>®</w:t>
      </w:r>
      <w:r w:rsidRPr="00C57DF0">
        <w:rPr>
          <w:rFonts w:ascii="Arial" w:eastAsia="Arial" w:hAnsi="Arial" w:cs="Arial"/>
          <w:sz w:val="12"/>
          <w:szCs w:val="12"/>
        </w:rPr>
        <w:t xml:space="preserve"> Index over the term of the securities, and the payment at maturity will be less than </w:t>
      </w:r>
      <w:r w:rsidR="00B66851" w:rsidRPr="00C57DF0">
        <w:rPr>
          <w:rFonts w:ascii="Arial" w:eastAsia="Arial" w:hAnsi="Arial" w:cs="Arial"/>
          <w:sz w:val="12"/>
          <w:szCs w:val="12"/>
        </w:rPr>
        <w:t>80</w:t>
      </w:r>
      <w:r w:rsidR="00D56F33" w:rsidRPr="00C57DF0">
        <w:rPr>
          <w:rFonts w:ascii="Arial" w:eastAsia="Arial" w:hAnsi="Arial" w:cs="Arial"/>
          <w:sz w:val="12"/>
          <w:szCs w:val="12"/>
        </w:rPr>
        <w:t>%</w:t>
      </w:r>
      <w:r w:rsidRPr="00C57DF0">
        <w:rPr>
          <w:rFonts w:ascii="Arial" w:eastAsia="Arial" w:hAnsi="Arial" w:cs="Arial"/>
          <w:sz w:val="12"/>
          <w:szCs w:val="12"/>
        </w:rPr>
        <w:t xml:space="preserve"> of the stated principal amount of the securities and could be zero.  </w:t>
      </w:r>
      <w:r w:rsidRPr="00C57DF0">
        <w:rPr>
          <w:rFonts w:ascii="Arial" w:eastAsia="Arial" w:hAnsi="Arial" w:cs="Arial"/>
          <w:b/>
          <w:bCs/>
          <w:sz w:val="12"/>
          <w:szCs w:val="12"/>
        </w:rPr>
        <w:t>Accordingly, investors may lose up to their entire initial investment in the securities.</w:t>
      </w:r>
      <w:r w:rsidRPr="00C57DF0">
        <w:rPr>
          <w:rFonts w:ascii="Arial" w:eastAsia="Arial" w:hAnsi="Arial" w:cs="Arial"/>
          <w:sz w:val="12"/>
          <w:szCs w:val="12"/>
        </w:rPr>
        <w:t xml:space="preserve">  Investors will not participate in any appreciation of the S&amp;P 500</w:t>
      </w:r>
      <w:r w:rsidRPr="00C57DF0">
        <w:rPr>
          <w:rFonts w:ascii="Arial" w:eastAsia="Arial" w:hAnsi="Arial" w:cs="Arial"/>
          <w:sz w:val="12"/>
          <w:szCs w:val="12"/>
          <w:vertAlign w:val="superscript"/>
        </w:rPr>
        <w:t>®</w:t>
      </w:r>
      <w:r w:rsidRPr="00C57DF0">
        <w:rPr>
          <w:rFonts w:ascii="Arial" w:eastAsia="Arial" w:hAnsi="Arial" w:cs="Arial"/>
          <w:sz w:val="12"/>
          <w:szCs w:val="12"/>
        </w:rPr>
        <w:t xml:space="preserve"> Index.  The securities are for investors who seek an opportunity to earn contingent quarterly coupon payments at a potentially above-market rate in exchange for the risk of losing their principal and the risk of receiving no contingent quarterly coupon when the S&amp;P 500</w:t>
      </w:r>
      <w:r w:rsidRPr="00C57DF0">
        <w:rPr>
          <w:rFonts w:ascii="Arial" w:eastAsia="Arial" w:hAnsi="Arial" w:cs="Arial"/>
          <w:sz w:val="12"/>
          <w:szCs w:val="12"/>
          <w:vertAlign w:val="superscript"/>
        </w:rPr>
        <w:t>®</w:t>
      </w:r>
      <w:r w:rsidRPr="00C57DF0">
        <w:rPr>
          <w:rFonts w:ascii="Arial" w:eastAsia="Arial" w:hAnsi="Arial" w:cs="Arial"/>
          <w:sz w:val="12"/>
          <w:szCs w:val="12"/>
        </w:rPr>
        <w:t xml:space="preserve"> Index on the related observation date closes below the coupon barrier level, and the risk of an early redemption of the securities at our discretion.  The securities are our senior debt securities. Any payments on the securities are fully and unconditionally guaranteed by Bank of America Corporation (“BAC”). The securities are issued as part of BofA Finance LLC’s (“BofA Finance”) “Medium-Term Notes, Series A” program.  </w:t>
      </w:r>
      <w:r w:rsidR="004720CE" w:rsidRPr="00C57DF0">
        <w:rPr>
          <w:rFonts w:ascii="Arial" w:eastAsia="Arial" w:hAnsi="Arial" w:cs="Arial"/>
          <w:b/>
          <w:bCs/>
          <w:sz w:val="12"/>
          <w:szCs w:val="12"/>
        </w:rPr>
        <w:t>All payments on the securities are subject to the credit risk of BofA Finance, as issuer of the securities, and BAC, as guarantor of the securities.  If we default on our obligations, you could lose some or all of your investment.  These securities are not secured obligations and you will not have any security interest in, or otherwise have any access to, any underlying reference asset or assets</w:t>
      </w:r>
      <w:r w:rsidR="004720CE" w:rsidRPr="00C57DF0">
        <w:rPr>
          <w:rFonts w:ascii="Arial" w:eastAsia="Arial" w:hAnsi="Arial" w:cs="Arial"/>
          <w:sz w:val="12"/>
          <w:szCs w:val="12"/>
        </w:rPr>
        <w:t>.</w:t>
      </w:r>
    </w:p>
    <w:tbl>
      <w:tblPr>
        <w:tblW w:w="4990" w:type="pct"/>
        <w:tblCellSpacing w:w="0" w:type="dxa"/>
        <w:tblInd w:w="270" w:type="dxa"/>
        <w:tblCellMar>
          <w:top w:w="15" w:type="dxa"/>
          <w:left w:w="15" w:type="dxa"/>
          <w:bottom w:w="15" w:type="dxa"/>
          <w:right w:w="15" w:type="dxa"/>
        </w:tblCellMar>
        <w:tblLook w:val="04A0" w:firstRow="1" w:lastRow="0" w:firstColumn="1" w:lastColumn="0" w:noHBand="0" w:noVBand="1"/>
      </w:tblPr>
      <w:tblGrid>
        <w:gridCol w:w="2425"/>
        <w:gridCol w:w="4363"/>
        <w:gridCol w:w="2908"/>
        <w:gridCol w:w="1909"/>
        <w:gridCol w:w="36"/>
      </w:tblGrid>
      <w:tr w:rsidR="00BD53EC" w:rsidRPr="00DF7ED9" w14:paraId="53CE83B0" w14:textId="77777777" w:rsidTr="006B184B">
        <w:trPr>
          <w:cantSplit/>
          <w:trHeight w:val="265"/>
          <w:tblCellSpacing w:w="0" w:type="dxa"/>
        </w:trPr>
        <w:tc>
          <w:tcPr>
            <w:tcW w:w="4985" w:type="pct"/>
            <w:gridSpan w:val="4"/>
            <w:shd w:val="clear" w:color="auto" w:fill="296DC1"/>
            <w:tcMar>
              <w:top w:w="0" w:type="dxa"/>
              <w:left w:w="119" w:type="dxa"/>
              <w:bottom w:w="0" w:type="dxa"/>
              <w:right w:w="119" w:type="dxa"/>
            </w:tcMar>
            <w:vAlign w:val="center"/>
            <w:hideMark/>
          </w:tcPr>
          <w:p w14:paraId="3E77137F" w14:textId="47578A84" w:rsidR="002C6D14" w:rsidRPr="00DF7ED9" w:rsidRDefault="00C24AAF" w:rsidP="00262AA1">
            <w:pPr>
              <w:spacing w:before="40" w:after="40" w:line="130" w:lineRule="atLeast"/>
              <w:ind w:left="270"/>
              <w:rPr>
                <w:color w:val="000000"/>
              </w:rPr>
            </w:pPr>
            <w:r w:rsidRPr="00DF7ED9">
              <w:rPr>
                <w:rFonts w:ascii="Arial" w:eastAsia="Arial" w:hAnsi="Arial" w:cs="Arial"/>
                <w:b/>
                <w:bCs/>
                <w:color w:val="FFFFFF"/>
                <w:sz w:val="15"/>
                <w:szCs w:val="15"/>
              </w:rPr>
              <w:t>SUMMARY TERMS</w:t>
            </w:r>
          </w:p>
        </w:tc>
        <w:tc>
          <w:tcPr>
            <w:tcW w:w="15" w:type="pct"/>
            <w:tcMar>
              <w:top w:w="15" w:type="dxa"/>
              <w:left w:w="15" w:type="dxa"/>
              <w:bottom w:w="15" w:type="dxa"/>
              <w:right w:w="15" w:type="dxa"/>
            </w:tcMar>
            <w:hideMark/>
          </w:tcPr>
          <w:p w14:paraId="7933D064" w14:textId="77777777" w:rsidR="002C6D14" w:rsidRPr="00DF7ED9" w:rsidRDefault="002C6D14" w:rsidP="00262AA1">
            <w:pPr>
              <w:ind w:left="270"/>
              <w:rPr>
                <w:color w:val="000000"/>
              </w:rPr>
            </w:pPr>
          </w:p>
        </w:tc>
      </w:tr>
      <w:tr w:rsidR="00BD53EC" w:rsidRPr="00C57DF0" w14:paraId="7431AC38" w14:textId="77777777" w:rsidTr="006B184B">
        <w:trPr>
          <w:cantSplit/>
          <w:trHeight w:val="132"/>
          <w:tblCellSpacing w:w="0" w:type="dxa"/>
        </w:trPr>
        <w:tc>
          <w:tcPr>
            <w:tcW w:w="1042" w:type="pct"/>
            <w:shd w:val="clear" w:color="auto" w:fill="FFFFFF"/>
            <w:tcMar>
              <w:top w:w="0" w:type="dxa"/>
              <w:left w:w="119" w:type="dxa"/>
              <w:bottom w:w="0" w:type="dxa"/>
              <w:right w:w="119" w:type="dxa"/>
            </w:tcMar>
            <w:vAlign w:val="center"/>
            <w:hideMark/>
          </w:tcPr>
          <w:p w14:paraId="349EDE6A" w14:textId="77777777" w:rsidR="002C6D14" w:rsidRPr="00C57DF0" w:rsidRDefault="00C24AAF" w:rsidP="00262AA1">
            <w:pPr>
              <w:spacing w:line="140" w:lineRule="atLeast"/>
              <w:ind w:left="270"/>
              <w:rPr>
                <w:color w:val="000000"/>
                <w:sz w:val="12"/>
                <w:szCs w:val="12"/>
              </w:rPr>
            </w:pPr>
            <w:r w:rsidRPr="00C57DF0">
              <w:rPr>
                <w:rFonts w:ascii="Arial" w:eastAsia="Arial" w:hAnsi="Arial" w:cs="Arial"/>
                <w:b/>
                <w:bCs/>
                <w:color w:val="296DC1"/>
                <w:sz w:val="12"/>
                <w:szCs w:val="12"/>
              </w:rPr>
              <w:t xml:space="preserve">Issuer: </w:t>
            </w:r>
          </w:p>
        </w:tc>
        <w:tc>
          <w:tcPr>
            <w:tcW w:w="3958" w:type="pct"/>
            <w:gridSpan w:val="4"/>
            <w:shd w:val="clear" w:color="auto" w:fill="FFFFFF"/>
            <w:tcMar>
              <w:top w:w="0" w:type="dxa"/>
              <w:left w:w="119" w:type="dxa"/>
              <w:bottom w:w="0" w:type="dxa"/>
              <w:right w:w="119" w:type="dxa"/>
            </w:tcMar>
            <w:vAlign w:val="center"/>
            <w:hideMark/>
          </w:tcPr>
          <w:p w14:paraId="4DC75C6D" w14:textId="77777777" w:rsidR="002C6D14" w:rsidRPr="00C57DF0" w:rsidRDefault="00C24AAF" w:rsidP="00867B80">
            <w:pPr>
              <w:spacing w:line="140" w:lineRule="atLeast"/>
              <w:rPr>
                <w:color w:val="000000"/>
                <w:sz w:val="12"/>
                <w:szCs w:val="12"/>
              </w:rPr>
            </w:pPr>
            <w:r w:rsidRPr="00C57DF0">
              <w:rPr>
                <w:rFonts w:ascii="Arial" w:eastAsia="Arial" w:hAnsi="Arial" w:cs="Arial"/>
                <w:color w:val="000000"/>
                <w:sz w:val="12"/>
                <w:szCs w:val="12"/>
              </w:rPr>
              <w:t>BofA Finance</w:t>
            </w:r>
          </w:p>
        </w:tc>
      </w:tr>
      <w:tr w:rsidR="00BD53EC" w:rsidRPr="00C57DF0" w14:paraId="1CB0B1F3" w14:textId="77777777" w:rsidTr="006B184B">
        <w:trPr>
          <w:cantSplit/>
          <w:trHeight w:val="142"/>
          <w:tblCellSpacing w:w="0" w:type="dxa"/>
        </w:trPr>
        <w:tc>
          <w:tcPr>
            <w:tcW w:w="1042" w:type="pct"/>
            <w:shd w:val="clear" w:color="auto" w:fill="DCEBF4"/>
            <w:tcMar>
              <w:top w:w="0" w:type="dxa"/>
              <w:left w:w="119" w:type="dxa"/>
              <w:bottom w:w="0" w:type="dxa"/>
              <w:right w:w="119" w:type="dxa"/>
            </w:tcMar>
            <w:hideMark/>
          </w:tcPr>
          <w:p w14:paraId="30A8CC64" w14:textId="77777777" w:rsidR="002C6D14" w:rsidRPr="00C57DF0" w:rsidRDefault="00C24AAF" w:rsidP="00262AA1">
            <w:pPr>
              <w:spacing w:line="140" w:lineRule="atLeast"/>
              <w:ind w:left="270"/>
              <w:rPr>
                <w:color w:val="000000"/>
                <w:sz w:val="12"/>
                <w:szCs w:val="12"/>
              </w:rPr>
            </w:pPr>
            <w:r w:rsidRPr="00C57DF0">
              <w:rPr>
                <w:rFonts w:ascii="Arial" w:eastAsia="Arial" w:hAnsi="Arial" w:cs="Arial"/>
                <w:b/>
                <w:bCs/>
                <w:color w:val="296DC1"/>
                <w:sz w:val="12"/>
                <w:szCs w:val="12"/>
              </w:rPr>
              <w:t>Guarantor:</w:t>
            </w:r>
          </w:p>
        </w:tc>
        <w:tc>
          <w:tcPr>
            <w:tcW w:w="3958" w:type="pct"/>
            <w:gridSpan w:val="4"/>
            <w:shd w:val="clear" w:color="auto" w:fill="DCEBF4"/>
            <w:tcMar>
              <w:top w:w="0" w:type="dxa"/>
              <w:left w:w="119" w:type="dxa"/>
              <w:bottom w:w="0" w:type="dxa"/>
              <w:right w:w="119" w:type="dxa"/>
            </w:tcMar>
            <w:hideMark/>
          </w:tcPr>
          <w:p w14:paraId="56B5EF78" w14:textId="77777777" w:rsidR="002C6D14" w:rsidRPr="00C57DF0" w:rsidRDefault="00C24AAF" w:rsidP="00867B80">
            <w:pPr>
              <w:spacing w:line="140" w:lineRule="atLeast"/>
              <w:rPr>
                <w:color w:val="000000"/>
                <w:sz w:val="12"/>
                <w:szCs w:val="12"/>
              </w:rPr>
            </w:pPr>
            <w:r w:rsidRPr="00C57DF0">
              <w:rPr>
                <w:rFonts w:ascii="Arial" w:eastAsia="Arial" w:hAnsi="Arial" w:cs="Arial"/>
                <w:color w:val="000000"/>
                <w:sz w:val="12"/>
                <w:szCs w:val="12"/>
              </w:rPr>
              <w:t>BAC</w:t>
            </w:r>
          </w:p>
        </w:tc>
      </w:tr>
      <w:tr w:rsidR="00BD53EC" w:rsidRPr="00C57DF0" w14:paraId="13900786" w14:textId="77777777" w:rsidTr="006B184B">
        <w:trPr>
          <w:cantSplit/>
          <w:trHeight w:val="132"/>
          <w:tblCellSpacing w:w="0" w:type="dxa"/>
        </w:trPr>
        <w:tc>
          <w:tcPr>
            <w:tcW w:w="1042" w:type="pct"/>
            <w:shd w:val="clear" w:color="auto" w:fill="FFFFFF"/>
            <w:tcMar>
              <w:top w:w="0" w:type="dxa"/>
              <w:left w:w="119" w:type="dxa"/>
              <w:bottom w:w="0" w:type="dxa"/>
              <w:right w:w="119" w:type="dxa"/>
            </w:tcMar>
            <w:vAlign w:val="center"/>
            <w:hideMark/>
          </w:tcPr>
          <w:p w14:paraId="41A78B92" w14:textId="77777777" w:rsidR="002C6D14" w:rsidRPr="00C57DF0" w:rsidRDefault="00C24AAF" w:rsidP="00262AA1">
            <w:pPr>
              <w:spacing w:line="140" w:lineRule="atLeast"/>
              <w:ind w:left="270"/>
              <w:rPr>
                <w:color w:val="000000"/>
                <w:sz w:val="12"/>
                <w:szCs w:val="12"/>
              </w:rPr>
            </w:pPr>
            <w:r w:rsidRPr="00C57DF0">
              <w:rPr>
                <w:rFonts w:ascii="Arial" w:eastAsia="Arial" w:hAnsi="Arial" w:cs="Arial"/>
                <w:b/>
                <w:bCs/>
                <w:color w:val="296DC1"/>
                <w:sz w:val="12"/>
                <w:szCs w:val="12"/>
              </w:rPr>
              <w:t>Underlying</w:t>
            </w:r>
            <w:r w:rsidR="004B51F0" w:rsidRPr="00C57DF0">
              <w:rPr>
                <w:rFonts w:ascii="Arial" w:eastAsia="Arial" w:hAnsi="Arial" w:cs="Arial"/>
                <w:b/>
                <w:bCs/>
                <w:color w:val="296DC1"/>
                <w:sz w:val="12"/>
                <w:szCs w:val="12"/>
              </w:rPr>
              <w:t xml:space="preserve"> index</w:t>
            </w:r>
            <w:r w:rsidR="003F76B8" w:rsidRPr="00C57DF0">
              <w:rPr>
                <w:rFonts w:ascii="Arial" w:eastAsia="Arial" w:hAnsi="Arial" w:cs="Arial"/>
                <w:b/>
                <w:bCs/>
                <w:color w:val="296DC1"/>
                <w:sz w:val="12"/>
                <w:szCs w:val="12"/>
              </w:rPr>
              <w:t>:</w:t>
            </w:r>
          </w:p>
        </w:tc>
        <w:tc>
          <w:tcPr>
            <w:tcW w:w="3958" w:type="pct"/>
            <w:gridSpan w:val="4"/>
            <w:shd w:val="clear" w:color="auto" w:fill="FFFFFF"/>
            <w:tcMar>
              <w:top w:w="0" w:type="dxa"/>
              <w:left w:w="119" w:type="dxa"/>
              <w:bottom w:w="0" w:type="dxa"/>
              <w:right w:w="119" w:type="dxa"/>
            </w:tcMar>
            <w:vAlign w:val="center"/>
            <w:hideMark/>
          </w:tcPr>
          <w:p w14:paraId="53A24724" w14:textId="77777777" w:rsidR="002C6D14" w:rsidRPr="00C57DF0" w:rsidRDefault="00C24AAF" w:rsidP="00867B80">
            <w:pPr>
              <w:spacing w:line="140" w:lineRule="atLeast"/>
              <w:rPr>
                <w:color w:val="000000"/>
                <w:sz w:val="12"/>
                <w:szCs w:val="12"/>
              </w:rPr>
            </w:pPr>
            <w:r w:rsidRPr="00C57DF0">
              <w:rPr>
                <w:rFonts w:ascii="Arial" w:eastAsia="Arial" w:hAnsi="Arial" w:cs="Arial"/>
                <w:color w:val="000000"/>
                <w:sz w:val="12"/>
                <w:szCs w:val="12"/>
              </w:rPr>
              <w:t>The S&amp;P 500</w:t>
            </w:r>
            <w:r w:rsidRPr="00C57DF0">
              <w:rPr>
                <w:rFonts w:ascii="Arial" w:eastAsia="Arial" w:hAnsi="Arial" w:cs="Arial"/>
                <w:color w:val="000000"/>
                <w:sz w:val="12"/>
                <w:szCs w:val="12"/>
                <w:vertAlign w:val="superscript"/>
              </w:rPr>
              <w:t>®</w:t>
            </w:r>
            <w:r w:rsidRPr="00C57DF0">
              <w:rPr>
                <w:rFonts w:ascii="Arial" w:eastAsia="Arial" w:hAnsi="Arial" w:cs="Arial"/>
                <w:color w:val="000000"/>
                <w:sz w:val="12"/>
                <w:szCs w:val="12"/>
              </w:rPr>
              <w:t xml:space="preserve"> Index (Bloomberg symbol: “SPX”)</w:t>
            </w:r>
          </w:p>
        </w:tc>
      </w:tr>
      <w:tr w:rsidR="00BD53EC" w:rsidRPr="00C57DF0" w14:paraId="06E3FEB5" w14:textId="77777777" w:rsidTr="006B184B">
        <w:trPr>
          <w:cantSplit/>
          <w:trHeight w:val="142"/>
          <w:tblCellSpacing w:w="0" w:type="dxa"/>
        </w:trPr>
        <w:tc>
          <w:tcPr>
            <w:tcW w:w="1042" w:type="pct"/>
            <w:shd w:val="clear" w:color="auto" w:fill="DCEBF4"/>
            <w:tcMar>
              <w:top w:w="0" w:type="dxa"/>
              <w:left w:w="119" w:type="dxa"/>
              <w:bottom w:w="0" w:type="dxa"/>
              <w:right w:w="119" w:type="dxa"/>
            </w:tcMar>
            <w:vAlign w:val="center"/>
            <w:hideMark/>
          </w:tcPr>
          <w:p w14:paraId="177D522F" w14:textId="77777777" w:rsidR="002C6D14" w:rsidRPr="00C57DF0" w:rsidRDefault="00C24AAF" w:rsidP="00262AA1">
            <w:pPr>
              <w:spacing w:line="140" w:lineRule="atLeast"/>
              <w:ind w:left="270"/>
              <w:rPr>
                <w:color w:val="000000"/>
                <w:sz w:val="12"/>
                <w:szCs w:val="12"/>
              </w:rPr>
            </w:pPr>
            <w:r w:rsidRPr="00C57DF0">
              <w:rPr>
                <w:rFonts w:ascii="Arial" w:eastAsia="Arial" w:hAnsi="Arial" w:cs="Arial"/>
                <w:b/>
                <w:bCs/>
                <w:color w:val="296DC1"/>
                <w:sz w:val="12"/>
                <w:szCs w:val="12"/>
              </w:rPr>
              <w:t>Aggregate principal amount:</w:t>
            </w:r>
          </w:p>
        </w:tc>
        <w:tc>
          <w:tcPr>
            <w:tcW w:w="3958" w:type="pct"/>
            <w:gridSpan w:val="4"/>
            <w:shd w:val="clear" w:color="auto" w:fill="DCEBF4"/>
            <w:tcMar>
              <w:top w:w="0" w:type="dxa"/>
              <w:left w:w="119" w:type="dxa"/>
              <w:bottom w:w="0" w:type="dxa"/>
              <w:right w:w="119" w:type="dxa"/>
            </w:tcMar>
            <w:vAlign w:val="center"/>
            <w:hideMark/>
          </w:tcPr>
          <w:p w14:paraId="3DC698E3" w14:textId="121EACC4" w:rsidR="002C6D14" w:rsidRPr="00C57DF0" w:rsidRDefault="00C24AAF" w:rsidP="00867B80">
            <w:pPr>
              <w:spacing w:line="140" w:lineRule="atLeast"/>
              <w:rPr>
                <w:color w:val="000000"/>
                <w:sz w:val="12"/>
                <w:szCs w:val="12"/>
              </w:rPr>
            </w:pPr>
            <w:r w:rsidRPr="00C57DF0">
              <w:rPr>
                <w:rFonts w:ascii="Arial" w:eastAsia="Arial" w:hAnsi="Arial" w:cs="Arial"/>
                <w:color w:val="000000"/>
                <w:sz w:val="12"/>
                <w:szCs w:val="12"/>
              </w:rPr>
              <w:t>$</w:t>
            </w:r>
            <w:r w:rsidR="009A5D89">
              <w:rPr>
                <w:rFonts w:ascii="Arial" w:eastAsia="Arial" w:hAnsi="Arial" w:cs="Arial"/>
                <w:color w:val="000000"/>
                <w:sz w:val="12"/>
                <w:szCs w:val="12"/>
              </w:rPr>
              <w:t>3,9</w:t>
            </w:r>
            <w:r w:rsidR="00B17586">
              <w:rPr>
                <w:rFonts w:ascii="Arial" w:eastAsia="Arial" w:hAnsi="Arial" w:cs="Arial"/>
                <w:color w:val="000000"/>
                <w:sz w:val="12"/>
                <w:szCs w:val="12"/>
              </w:rPr>
              <w:t>8</w:t>
            </w:r>
            <w:r w:rsidR="009A5D89">
              <w:rPr>
                <w:rFonts w:ascii="Arial" w:eastAsia="Arial" w:hAnsi="Arial" w:cs="Arial"/>
                <w:color w:val="000000"/>
                <w:sz w:val="12"/>
                <w:szCs w:val="12"/>
              </w:rPr>
              <w:t>9,000</w:t>
            </w:r>
          </w:p>
        </w:tc>
      </w:tr>
      <w:tr w:rsidR="00BD53EC" w:rsidRPr="00C57DF0" w14:paraId="2571EB67" w14:textId="77777777" w:rsidTr="006B184B">
        <w:trPr>
          <w:cantSplit/>
          <w:trHeight w:val="132"/>
          <w:tblCellSpacing w:w="0" w:type="dxa"/>
        </w:trPr>
        <w:tc>
          <w:tcPr>
            <w:tcW w:w="1042" w:type="pct"/>
            <w:shd w:val="clear" w:color="auto" w:fill="FFFFFF"/>
            <w:tcMar>
              <w:top w:w="0" w:type="dxa"/>
              <w:left w:w="119" w:type="dxa"/>
              <w:bottom w:w="0" w:type="dxa"/>
              <w:right w:w="119" w:type="dxa"/>
            </w:tcMar>
            <w:hideMark/>
          </w:tcPr>
          <w:p w14:paraId="73AF08BE" w14:textId="77777777" w:rsidR="002C6D14" w:rsidRPr="00C57DF0" w:rsidRDefault="00C24AAF" w:rsidP="00262AA1">
            <w:pPr>
              <w:spacing w:line="140" w:lineRule="atLeast"/>
              <w:ind w:left="270"/>
              <w:rPr>
                <w:color w:val="000000"/>
                <w:sz w:val="12"/>
                <w:szCs w:val="12"/>
              </w:rPr>
            </w:pPr>
            <w:r w:rsidRPr="00C57DF0">
              <w:rPr>
                <w:rFonts w:ascii="Arial" w:eastAsia="Arial" w:hAnsi="Arial" w:cs="Arial"/>
                <w:b/>
                <w:bCs/>
                <w:color w:val="296DC1"/>
                <w:sz w:val="12"/>
                <w:szCs w:val="12"/>
              </w:rPr>
              <w:t>Stated principal amount:</w:t>
            </w:r>
          </w:p>
        </w:tc>
        <w:tc>
          <w:tcPr>
            <w:tcW w:w="3958" w:type="pct"/>
            <w:gridSpan w:val="4"/>
            <w:shd w:val="clear" w:color="auto" w:fill="FFFFFF"/>
            <w:tcMar>
              <w:top w:w="0" w:type="dxa"/>
              <w:left w:w="119" w:type="dxa"/>
              <w:bottom w:w="0" w:type="dxa"/>
              <w:right w:w="119" w:type="dxa"/>
            </w:tcMar>
            <w:vAlign w:val="center"/>
            <w:hideMark/>
          </w:tcPr>
          <w:p w14:paraId="1CEF5A8F" w14:textId="77777777" w:rsidR="002C6D14" w:rsidRPr="00C57DF0" w:rsidRDefault="00C24AAF" w:rsidP="00867B80">
            <w:pPr>
              <w:spacing w:line="140" w:lineRule="atLeast"/>
              <w:rPr>
                <w:color w:val="000000"/>
                <w:sz w:val="12"/>
                <w:szCs w:val="12"/>
              </w:rPr>
            </w:pPr>
            <w:r w:rsidRPr="00C57DF0">
              <w:rPr>
                <w:rFonts w:ascii="Arial" w:eastAsia="Arial" w:hAnsi="Arial" w:cs="Arial"/>
                <w:color w:val="000000"/>
                <w:sz w:val="12"/>
                <w:szCs w:val="12"/>
              </w:rPr>
              <w:t>$1,000 per security</w:t>
            </w:r>
          </w:p>
        </w:tc>
      </w:tr>
      <w:tr w:rsidR="00BD53EC" w:rsidRPr="00C57DF0" w14:paraId="7CCEC59C" w14:textId="77777777" w:rsidTr="006B184B">
        <w:trPr>
          <w:cantSplit/>
          <w:trHeight w:val="142"/>
          <w:tblCellSpacing w:w="0" w:type="dxa"/>
        </w:trPr>
        <w:tc>
          <w:tcPr>
            <w:tcW w:w="1042" w:type="pct"/>
            <w:shd w:val="clear" w:color="auto" w:fill="DCEBF4"/>
            <w:tcMar>
              <w:top w:w="0" w:type="dxa"/>
              <w:left w:w="119" w:type="dxa"/>
              <w:bottom w:w="0" w:type="dxa"/>
              <w:right w:w="119" w:type="dxa"/>
            </w:tcMar>
            <w:hideMark/>
          </w:tcPr>
          <w:p w14:paraId="1E60A4E3" w14:textId="77777777" w:rsidR="002C6D14" w:rsidRPr="00C57DF0" w:rsidRDefault="00C24AAF" w:rsidP="00262AA1">
            <w:pPr>
              <w:spacing w:line="140" w:lineRule="atLeast"/>
              <w:ind w:left="270"/>
              <w:rPr>
                <w:color w:val="000000"/>
                <w:sz w:val="12"/>
                <w:szCs w:val="12"/>
              </w:rPr>
            </w:pPr>
            <w:r w:rsidRPr="00C57DF0">
              <w:rPr>
                <w:rFonts w:ascii="Arial" w:eastAsia="Arial" w:hAnsi="Arial" w:cs="Arial"/>
                <w:b/>
                <w:bCs/>
                <w:color w:val="296DC1"/>
                <w:sz w:val="12"/>
                <w:szCs w:val="12"/>
              </w:rPr>
              <w:t>Issue price:</w:t>
            </w:r>
          </w:p>
        </w:tc>
        <w:tc>
          <w:tcPr>
            <w:tcW w:w="3958" w:type="pct"/>
            <w:gridSpan w:val="4"/>
            <w:shd w:val="clear" w:color="auto" w:fill="DCEBF4"/>
            <w:tcMar>
              <w:top w:w="0" w:type="dxa"/>
              <w:left w:w="119" w:type="dxa"/>
              <w:bottom w:w="0" w:type="dxa"/>
              <w:right w:w="119" w:type="dxa"/>
            </w:tcMar>
            <w:vAlign w:val="center"/>
            <w:hideMark/>
          </w:tcPr>
          <w:p w14:paraId="7CA26377" w14:textId="77777777" w:rsidR="002C6D14" w:rsidRPr="00C57DF0" w:rsidRDefault="00C24AAF" w:rsidP="00867B80">
            <w:pPr>
              <w:spacing w:line="140" w:lineRule="atLeast"/>
              <w:rPr>
                <w:color w:val="000000"/>
                <w:sz w:val="12"/>
                <w:szCs w:val="12"/>
              </w:rPr>
            </w:pPr>
            <w:r w:rsidRPr="00C57DF0">
              <w:rPr>
                <w:rFonts w:ascii="Arial" w:eastAsia="Arial" w:hAnsi="Arial" w:cs="Arial"/>
                <w:color w:val="000000"/>
                <w:sz w:val="12"/>
                <w:szCs w:val="12"/>
              </w:rPr>
              <w:t>$1,000 per security (see “Commissions and issue price” below)</w:t>
            </w:r>
          </w:p>
        </w:tc>
      </w:tr>
      <w:tr w:rsidR="00BD53EC" w:rsidRPr="00C57DF0" w14:paraId="5D4D4F30" w14:textId="77777777" w:rsidTr="006B184B">
        <w:trPr>
          <w:cantSplit/>
          <w:trHeight w:val="132"/>
          <w:tblCellSpacing w:w="0" w:type="dxa"/>
        </w:trPr>
        <w:tc>
          <w:tcPr>
            <w:tcW w:w="1042" w:type="pct"/>
            <w:shd w:val="clear" w:color="auto" w:fill="FFFFFF"/>
            <w:tcMar>
              <w:top w:w="0" w:type="dxa"/>
              <w:left w:w="119" w:type="dxa"/>
              <w:bottom w:w="0" w:type="dxa"/>
              <w:right w:w="119" w:type="dxa"/>
            </w:tcMar>
            <w:hideMark/>
          </w:tcPr>
          <w:p w14:paraId="237FFBC4" w14:textId="77777777" w:rsidR="002C6D14" w:rsidRPr="00C57DF0" w:rsidRDefault="00C24AAF" w:rsidP="00262AA1">
            <w:pPr>
              <w:spacing w:line="140" w:lineRule="atLeast"/>
              <w:ind w:left="270"/>
              <w:rPr>
                <w:color w:val="000000"/>
                <w:sz w:val="12"/>
                <w:szCs w:val="12"/>
              </w:rPr>
            </w:pPr>
            <w:r w:rsidRPr="00C57DF0">
              <w:rPr>
                <w:rFonts w:ascii="Arial" w:eastAsia="Arial" w:hAnsi="Arial" w:cs="Arial"/>
                <w:b/>
                <w:bCs/>
                <w:color w:val="296DC1"/>
                <w:sz w:val="12"/>
                <w:szCs w:val="12"/>
              </w:rPr>
              <w:t xml:space="preserve">Pricing date: </w:t>
            </w:r>
          </w:p>
        </w:tc>
        <w:tc>
          <w:tcPr>
            <w:tcW w:w="3958" w:type="pct"/>
            <w:gridSpan w:val="4"/>
            <w:shd w:val="clear" w:color="auto" w:fill="FFFFFF"/>
            <w:tcMar>
              <w:top w:w="0" w:type="dxa"/>
              <w:left w:w="119" w:type="dxa"/>
              <w:bottom w:w="0" w:type="dxa"/>
              <w:right w:w="119" w:type="dxa"/>
            </w:tcMar>
            <w:vAlign w:val="center"/>
            <w:hideMark/>
          </w:tcPr>
          <w:p w14:paraId="7FEA5F0C" w14:textId="549878E8" w:rsidR="002C6D14" w:rsidRPr="00C57DF0" w:rsidRDefault="00290387" w:rsidP="00867B80">
            <w:pPr>
              <w:spacing w:line="140" w:lineRule="atLeast"/>
              <w:rPr>
                <w:color w:val="000000"/>
                <w:sz w:val="12"/>
                <w:szCs w:val="12"/>
              </w:rPr>
            </w:pPr>
            <w:r>
              <w:rPr>
                <w:rFonts w:ascii="Arial" w:eastAsia="Arial" w:hAnsi="Arial" w:cs="Arial"/>
                <w:color w:val="000000"/>
                <w:sz w:val="12"/>
                <w:szCs w:val="12"/>
              </w:rPr>
              <w:t>February 20, 2026</w:t>
            </w:r>
          </w:p>
        </w:tc>
      </w:tr>
      <w:tr w:rsidR="00BD53EC" w:rsidRPr="00C57DF0" w14:paraId="2E978C55" w14:textId="77777777" w:rsidTr="006B184B">
        <w:trPr>
          <w:cantSplit/>
          <w:trHeight w:val="142"/>
          <w:tblCellSpacing w:w="0" w:type="dxa"/>
        </w:trPr>
        <w:tc>
          <w:tcPr>
            <w:tcW w:w="1042" w:type="pct"/>
            <w:shd w:val="clear" w:color="auto" w:fill="DCEBF4"/>
            <w:tcMar>
              <w:top w:w="0" w:type="dxa"/>
              <w:left w:w="119" w:type="dxa"/>
              <w:bottom w:w="0" w:type="dxa"/>
              <w:right w:w="119" w:type="dxa"/>
            </w:tcMar>
            <w:hideMark/>
          </w:tcPr>
          <w:p w14:paraId="79E3B9C7" w14:textId="77777777" w:rsidR="002C6D14" w:rsidRPr="00C57DF0" w:rsidRDefault="00C24AAF" w:rsidP="00262AA1">
            <w:pPr>
              <w:spacing w:line="140" w:lineRule="atLeast"/>
              <w:ind w:left="270"/>
              <w:rPr>
                <w:color w:val="000000"/>
                <w:sz w:val="12"/>
                <w:szCs w:val="12"/>
              </w:rPr>
            </w:pPr>
            <w:r w:rsidRPr="00C57DF0">
              <w:rPr>
                <w:rFonts w:ascii="Arial" w:eastAsia="Arial" w:hAnsi="Arial" w:cs="Arial"/>
                <w:b/>
                <w:bCs/>
                <w:color w:val="296DC1"/>
                <w:sz w:val="12"/>
                <w:szCs w:val="12"/>
              </w:rPr>
              <w:t xml:space="preserve">Original issue date: </w:t>
            </w:r>
          </w:p>
        </w:tc>
        <w:tc>
          <w:tcPr>
            <w:tcW w:w="3958" w:type="pct"/>
            <w:gridSpan w:val="4"/>
            <w:shd w:val="clear" w:color="auto" w:fill="DCEBF4"/>
            <w:tcMar>
              <w:top w:w="0" w:type="dxa"/>
              <w:left w:w="119" w:type="dxa"/>
              <w:bottom w:w="0" w:type="dxa"/>
              <w:right w:w="119" w:type="dxa"/>
            </w:tcMar>
            <w:vAlign w:val="center"/>
            <w:hideMark/>
          </w:tcPr>
          <w:p w14:paraId="305B033A" w14:textId="5A5BB013" w:rsidR="002C6D14" w:rsidRPr="00C57DF0" w:rsidRDefault="00A80421" w:rsidP="00867B80">
            <w:pPr>
              <w:spacing w:line="140" w:lineRule="atLeast"/>
              <w:rPr>
                <w:rFonts w:ascii="Arial" w:hAnsi="Arial" w:cs="Arial"/>
                <w:color w:val="000000"/>
                <w:sz w:val="12"/>
                <w:szCs w:val="12"/>
              </w:rPr>
            </w:pPr>
            <w:r>
              <w:rPr>
                <w:rFonts w:ascii="Arial" w:eastAsia="Arial" w:hAnsi="Arial" w:cs="Arial"/>
                <w:color w:val="000000"/>
                <w:sz w:val="12"/>
                <w:szCs w:val="12"/>
              </w:rPr>
              <w:t>February 25, 2026</w:t>
            </w:r>
            <w:r w:rsidR="00D937A3" w:rsidRPr="00D937A3">
              <w:rPr>
                <w:rFonts w:ascii="Arial" w:eastAsia="Arial" w:hAnsi="Arial" w:cs="Arial"/>
                <w:color w:val="000000"/>
                <w:sz w:val="12"/>
                <w:szCs w:val="12"/>
              </w:rPr>
              <w:t xml:space="preserve"> </w:t>
            </w:r>
            <w:r w:rsidR="00C24AAF" w:rsidRPr="00C57DF0">
              <w:rPr>
                <w:rFonts w:ascii="Arial" w:eastAsia="Arial" w:hAnsi="Arial" w:cs="Arial"/>
                <w:color w:val="000000"/>
                <w:sz w:val="12"/>
                <w:szCs w:val="12"/>
              </w:rPr>
              <w:t>(3 business days after the pricing date)</w:t>
            </w:r>
          </w:p>
        </w:tc>
      </w:tr>
      <w:tr w:rsidR="00BD53EC" w:rsidRPr="00C57DF0" w14:paraId="5ED232C1" w14:textId="77777777" w:rsidTr="006B184B">
        <w:trPr>
          <w:cantSplit/>
          <w:trHeight w:val="132"/>
          <w:tblCellSpacing w:w="0" w:type="dxa"/>
        </w:trPr>
        <w:tc>
          <w:tcPr>
            <w:tcW w:w="1042" w:type="pct"/>
            <w:shd w:val="clear" w:color="auto" w:fill="FFFFFF"/>
            <w:tcMar>
              <w:top w:w="0" w:type="dxa"/>
              <w:left w:w="119" w:type="dxa"/>
              <w:bottom w:w="0" w:type="dxa"/>
              <w:right w:w="119" w:type="dxa"/>
            </w:tcMar>
            <w:vAlign w:val="center"/>
            <w:hideMark/>
          </w:tcPr>
          <w:p w14:paraId="06EF5E91" w14:textId="77777777" w:rsidR="002C6D14" w:rsidRPr="00C57DF0" w:rsidRDefault="00C24AAF" w:rsidP="00262AA1">
            <w:pPr>
              <w:spacing w:line="140" w:lineRule="atLeast"/>
              <w:ind w:left="270"/>
              <w:rPr>
                <w:color w:val="000000"/>
                <w:sz w:val="12"/>
                <w:szCs w:val="12"/>
              </w:rPr>
            </w:pPr>
            <w:r w:rsidRPr="00C57DF0">
              <w:rPr>
                <w:rFonts w:ascii="Arial" w:eastAsia="Arial" w:hAnsi="Arial" w:cs="Arial"/>
                <w:b/>
                <w:bCs/>
                <w:color w:val="296DC1"/>
                <w:sz w:val="12"/>
                <w:szCs w:val="12"/>
              </w:rPr>
              <w:t xml:space="preserve">Maturity date: </w:t>
            </w:r>
          </w:p>
        </w:tc>
        <w:tc>
          <w:tcPr>
            <w:tcW w:w="3958" w:type="pct"/>
            <w:gridSpan w:val="4"/>
            <w:shd w:val="clear" w:color="auto" w:fill="FFFFFF"/>
            <w:tcMar>
              <w:top w:w="0" w:type="dxa"/>
              <w:left w:w="119" w:type="dxa"/>
              <w:bottom w:w="0" w:type="dxa"/>
              <w:right w:w="119" w:type="dxa"/>
            </w:tcMar>
            <w:vAlign w:val="center"/>
            <w:hideMark/>
          </w:tcPr>
          <w:p w14:paraId="280B914E" w14:textId="7E822AD3" w:rsidR="002C6D14" w:rsidRPr="00C57DF0" w:rsidRDefault="00290387" w:rsidP="00867B80">
            <w:pPr>
              <w:spacing w:line="140" w:lineRule="atLeast"/>
              <w:rPr>
                <w:rFonts w:ascii="Arial" w:hAnsi="Arial" w:cs="Arial"/>
                <w:color w:val="000000"/>
                <w:sz w:val="12"/>
                <w:szCs w:val="12"/>
              </w:rPr>
            </w:pPr>
            <w:r>
              <w:rPr>
                <w:rFonts w:ascii="Arial" w:hAnsi="Arial" w:cs="Arial"/>
                <w:color w:val="000000"/>
                <w:sz w:val="12"/>
                <w:szCs w:val="12"/>
              </w:rPr>
              <w:t>February 25, 2028</w:t>
            </w:r>
          </w:p>
        </w:tc>
      </w:tr>
      <w:tr w:rsidR="00BD53EC" w:rsidRPr="00C57DF0" w14:paraId="3EE3FB84" w14:textId="77777777" w:rsidTr="006B184B">
        <w:trPr>
          <w:cantSplit/>
          <w:trHeight w:val="550"/>
          <w:tblCellSpacing w:w="0" w:type="dxa"/>
        </w:trPr>
        <w:tc>
          <w:tcPr>
            <w:tcW w:w="1042" w:type="pct"/>
            <w:shd w:val="clear" w:color="auto" w:fill="DCEBF4"/>
            <w:tcMar>
              <w:top w:w="0" w:type="dxa"/>
              <w:left w:w="119" w:type="dxa"/>
              <w:bottom w:w="0" w:type="dxa"/>
              <w:right w:w="119" w:type="dxa"/>
            </w:tcMar>
            <w:hideMark/>
          </w:tcPr>
          <w:p w14:paraId="40F1F2A6" w14:textId="77777777" w:rsidR="002C6D14" w:rsidRPr="00C57DF0" w:rsidRDefault="00C24AAF" w:rsidP="00262AA1">
            <w:pPr>
              <w:spacing w:line="140" w:lineRule="atLeast"/>
              <w:ind w:left="270"/>
              <w:rPr>
                <w:color w:val="000000"/>
                <w:sz w:val="12"/>
                <w:szCs w:val="12"/>
              </w:rPr>
            </w:pPr>
            <w:r w:rsidRPr="00C57DF0">
              <w:rPr>
                <w:rFonts w:ascii="Arial" w:eastAsia="Arial" w:hAnsi="Arial" w:cs="Arial"/>
                <w:b/>
                <w:bCs/>
                <w:color w:val="296DC1"/>
                <w:sz w:val="12"/>
                <w:szCs w:val="12"/>
              </w:rPr>
              <w:t>Call feature:</w:t>
            </w:r>
          </w:p>
        </w:tc>
        <w:tc>
          <w:tcPr>
            <w:tcW w:w="3958" w:type="pct"/>
            <w:gridSpan w:val="4"/>
            <w:shd w:val="clear" w:color="auto" w:fill="DCEBF4"/>
            <w:tcMar>
              <w:top w:w="0" w:type="dxa"/>
              <w:left w:w="119" w:type="dxa"/>
              <w:bottom w:w="0" w:type="dxa"/>
              <w:right w:w="119" w:type="dxa"/>
            </w:tcMar>
            <w:vAlign w:val="center"/>
            <w:hideMark/>
          </w:tcPr>
          <w:p w14:paraId="1CF6B0A9" w14:textId="4F9B8B3C" w:rsidR="002C6D14" w:rsidRPr="00C57DF0" w:rsidRDefault="00C24AAF" w:rsidP="00867B80">
            <w:pPr>
              <w:spacing w:line="140" w:lineRule="atLeast"/>
              <w:rPr>
                <w:rFonts w:ascii="Arial" w:hAnsi="Arial" w:cs="Arial"/>
                <w:color w:val="000000"/>
                <w:sz w:val="12"/>
                <w:szCs w:val="12"/>
              </w:rPr>
            </w:pPr>
            <w:r w:rsidRPr="00C57DF0">
              <w:rPr>
                <w:rFonts w:ascii="Arial" w:eastAsia="Arial" w:hAnsi="Arial" w:cs="Arial"/>
                <w:color w:val="000000"/>
                <w:sz w:val="12"/>
                <w:szCs w:val="12"/>
              </w:rPr>
              <w:t xml:space="preserve">Beginning on </w:t>
            </w:r>
            <w:r w:rsidR="00290387">
              <w:rPr>
                <w:rFonts w:ascii="Arial" w:eastAsia="Arial" w:hAnsi="Arial" w:cs="Arial"/>
                <w:color w:val="000000"/>
                <w:sz w:val="12"/>
                <w:szCs w:val="12"/>
              </w:rPr>
              <w:t>May 26, 2026</w:t>
            </w:r>
            <w:r w:rsidRPr="00C57DF0">
              <w:rPr>
                <w:rFonts w:ascii="Arial" w:eastAsia="Arial" w:hAnsi="Arial" w:cs="Arial"/>
                <w:color w:val="000000"/>
                <w:sz w:val="12"/>
                <w:szCs w:val="12"/>
              </w:rPr>
              <w:t xml:space="preserve">, on any redemption date, we have the right to redeem all (but not less than all) of the securities </w:t>
            </w:r>
            <w:r w:rsidR="00EE7D01" w:rsidRPr="00C57DF0">
              <w:rPr>
                <w:rFonts w:ascii="Arial" w:eastAsia="Arial" w:hAnsi="Arial" w:cs="Arial"/>
                <w:color w:val="000000"/>
                <w:sz w:val="12"/>
                <w:szCs w:val="12"/>
              </w:rPr>
              <w:t xml:space="preserve">for a redemption payment equal to the stated principal amount </w:t>
            </w:r>
            <w:r w:rsidR="00EE7D01" w:rsidRPr="00C57DF0">
              <w:rPr>
                <w:rFonts w:ascii="Arial" w:eastAsia="Arial" w:hAnsi="Arial" w:cs="Arial"/>
                <w:i/>
                <w:iCs/>
                <w:color w:val="000000"/>
                <w:sz w:val="12"/>
                <w:szCs w:val="12"/>
              </w:rPr>
              <w:t xml:space="preserve">plus </w:t>
            </w:r>
            <w:r w:rsidR="00EE7D01" w:rsidRPr="00C57DF0">
              <w:rPr>
                <w:rFonts w:ascii="Arial" w:eastAsia="Arial" w:hAnsi="Arial" w:cs="Arial"/>
                <w:color w:val="000000"/>
                <w:sz w:val="12"/>
                <w:szCs w:val="12"/>
              </w:rPr>
              <w:t>any contingent quarterly coupon</w:t>
            </w:r>
            <w:r w:rsidR="00852C94" w:rsidRPr="00C57DF0">
              <w:rPr>
                <w:rFonts w:ascii="Arial" w:eastAsia="Arial" w:hAnsi="Arial" w:cs="Arial"/>
                <w:color w:val="000000"/>
                <w:sz w:val="12"/>
                <w:szCs w:val="12"/>
              </w:rPr>
              <w:t xml:space="preserve"> otherwise due</w:t>
            </w:r>
            <w:r w:rsidR="00EE7D01" w:rsidRPr="00C57DF0">
              <w:rPr>
                <w:rFonts w:ascii="Arial" w:eastAsia="Arial" w:hAnsi="Arial" w:cs="Arial"/>
                <w:color w:val="000000"/>
                <w:sz w:val="12"/>
                <w:szCs w:val="12"/>
              </w:rPr>
              <w:t xml:space="preserve"> with respect to the relevant observation date, as applicable</w:t>
            </w:r>
            <w:r w:rsidRPr="00C57DF0">
              <w:rPr>
                <w:rFonts w:ascii="Arial" w:eastAsia="Arial" w:hAnsi="Arial" w:cs="Arial"/>
                <w:color w:val="000000"/>
                <w:sz w:val="12"/>
                <w:szCs w:val="12"/>
              </w:rPr>
              <w:t xml:space="preserve">. We will give notice to the trustee at least five business days but not more than 60 calendar days before the applicable redemption date. </w:t>
            </w:r>
            <w:r w:rsidR="003F76B8" w:rsidRPr="00C57DF0">
              <w:rPr>
                <w:rFonts w:ascii="Arial" w:eastAsia="Arial" w:hAnsi="Arial" w:cs="Arial"/>
                <w:color w:val="000000"/>
                <w:sz w:val="12"/>
                <w:szCs w:val="12"/>
              </w:rPr>
              <w:t>No further payments will be made on the securities once they have been redeemed.</w:t>
            </w:r>
          </w:p>
        </w:tc>
      </w:tr>
      <w:tr w:rsidR="00BD53EC" w:rsidRPr="00C57DF0" w14:paraId="63C7B286" w14:textId="77777777" w:rsidTr="006B184B">
        <w:trPr>
          <w:cantSplit/>
          <w:trHeight w:val="275"/>
          <w:tblCellSpacing w:w="0" w:type="dxa"/>
        </w:trPr>
        <w:tc>
          <w:tcPr>
            <w:tcW w:w="1042" w:type="pct"/>
            <w:shd w:val="clear" w:color="auto" w:fill="FFFFFF"/>
            <w:tcMar>
              <w:top w:w="0" w:type="dxa"/>
              <w:left w:w="119" w:type="dxa"/>
              <w:bottom w:w="0" w:type="dxa"/>
              <w:right w:w="119" w:type="dxa"/>
            </w:tcMar>
            <w:hideMark/>
          </w:tcPr>
          <w:p w14:paraId="4B34D2AA" w14:textId="77777777" w:rsidR="002C6D14" w:rsidRPr="00C57DF0" w:rsidRDefault="00C24AAF" w:rsidP="00262AA1">
            <w:pPr>
              <w:spacing w:line="140" w:lineRule="atLeast"/>
              <w:ind w:left="270"/>
              <w:rPr>
                <w:color w:val="000000"/>
                <w:sz w:val="12"/>
                <w:szCs w:val="12"/>
              </w:rPr>
            </w:pPr>
            <w:r w:rsidRPr="00C57DF0">
              <w:rPr>
                <w:rFonts w:ascii="Arial" w:eastAsia="Arial" w:hAnsi="Arial" w:cs="Arial"/>
                <w:b/>
                <w:bCs/>
                <w:color w:val="296DC1"/>
                <w:sz w:val="12"/>
                <w:szCs w:val="12"/>
              </w:rPr>
              <w:t>Redemption payment:</w:t>
            </w:r>
          </w:p>
        </w:tc>
        <w:tc>
          <w:tcPr>
            <w:tcW w:w="3958" w:type="pct"/>
            <w:gridSpan w:val="4"/>
            <w:shd w:val="clear" w:color="auto" w:fill="FFFFFF"/>
            <w:tcMar>
              <w:top w:w="0" w:type="dxa"/>
              <w:left w:w="119" w:type="dxa"/>
              <w:bottom w:w="0" w:type="dxa"/>
              <w:right w:w="119" w:type="dxa"/>
            </w:tcMar>
            <w:vAlign w:val="center"/>
            <w:hideMark/>
          </w:tcPr>
          <w:p w14:paraId="4482AA2F" w14:textId="77777777" w:rsidR="002C6D14" w:rsidRPr="00C57DF0" w:rsidRDefault="00C24AAF" w:rsidP="00867B80">
            <w:pPr>
              <w:spacing w:line="140" w:lineRule="atLeast"/>
              <w:ind w:right="270"/>
              <w:rPr>
                <w:color w:val="000000"/>
                <w:sz w:val="12"/>
                <w:szCs w:val="12"/>
              </w:rPr>
            </w:pPr>
            <w:r w:rsidRPr="00C57DF0">
              <w:rPr>
                <w:rFonts w:ascii="Arial" w:eastAsia="Arial" w:hAnsi="Arial" w:cs="Arial"/>
                <w:color w:val="000000"/>
                <w:sz w:val="12"/>
                <w:szCs w:val="12"/>
              </w:rPr>
              <w:t xml:space="preserve">The redemption payment will be an amount equal to (i) the stated principal amount </w:t>
            </w:r>
            <w:r w:rsidRPr="00C57DF0">
              <w:rPr>
                <w:rFonts w:ascii="Arial" w:eastAsia="Arial" w:hAnsi="Arial" w:cs="Arial"/>
                <w:i/>
                <w:iCs/>
                <w:color w:val="000000"/>
                <w:sz w:val="12"/>
                <w:szCs w:val="12"/>
              </w:rPr>
              <w:t>plus</w:t>
            </w:r>
            <w:r w:rsidRPr="00C57DF0">
              <w:rPr>
                <w:rFonts w:ascii="Arial" w:eastAsia="Arial" w:hAnsi="Arial" w:cs="Arial"/>
                <w:color w:val="000000"/>
                <w:sz w:val="12"/>
                <w:szCs w:val="12"/>
              </w:rPr>
              <w:t xml:space="preserve"> (ii) any contingent quarterly coupon otherwise due with respect to the related observation date.</w:t>
            </w:r>
          </w:p>
        </w:tc>
      </w:tr>
      <w:tr w:rsidR="00BD53EC" w:rsidRPr="00C57DF0" w14:paraId="4D8CDD99" w14:textId="77777777" w:rsidTr="006B184B">
        <w:trPr>
          <w:cantSplit/>
          <w:trHeight w:val="142"/>
          <w:tblCellSpacing w:w="0" w:type="dxa"/>
        </w:trPr>
        <w:tc>
          <w:tcPr>
            <w:tcW w:w="1042" w:type="pct"/>
            <w:shd w:val="clear" w:color="auto" w:fill="DCEBF4"/>
            <w:tcMar>
              <w:top w:w="0" w:type="dxa"/>
              <w:left w:w="119" w:type="dxa"/>
              <w:bottom w:w="0" w:type="dxa"/>
              <w:right w:w="119" w:type="dxa"/>
            </w:tcMar>
            <w:hideMark/>
          </w:tcPr>
          <w:p w14:paraId="7F18BCA1" w14:textId="77777777" w:rsidR="002C6D14" w:rsidRPr="00C57DF0" w:rsidRDefault="00C24AAF" w:rsidP="00262AA1">
            <w:pPr>
              <w:spacing w:line="140" w:lineRule="atLeast"/>
              <w:ind w:left="270"/>
              <w:rPr>
                <w:color w:val="000000"/>
                <w:sz w:val="12"/>
                <w:szCs w:val="12"/>
              </w:rPr>
            </w:pPr>
            <w:r w:rsidRPr="00C57DF0">
              <w:rPr>
                <w:rFonts w:ascii="Arial" w:eastAsia="Arial" w:hAnsi="Arial" w:cs="Arial"/>
                <w:b/>
                <w:bCs/>
                <w:color w:val="296DC1"/>
                <w:sz w:val="12"/>
                <w:szCs w:val="12"/>
              </w:rPr>
              <w:t>Redemption dates:</w:t>
            </w:r>
          </w:p>
        </w:tc>
        <w:tc>
          <w:tcPr>
            <w:tcW w:w="3958" w:type="pct"/>
            <w:gridSpan w:val="4"/>
            <w:shd w:val="clear" w:color="auto" w:fill="DCEBF4"/>
            <w:tcMar>
              <w:top w:w="0" w:type="dxa"/>
              <w:left w:w="119" w:type="dxa"/>
              <w:bottom w:w="0" w:type="dxa"/>
              <w:right w:w="119" w:type="dxa"/>
            </w:tcMar>
            <w:vAlign w:val="center"/>
            <w:hideMark/>
          </w:tcPr>
          <w:p w14:paraId="730979A6" w14:textId="3C4496CF" w:rsidR="002C6D14" w:rsidRPr="00C57DF0" w:rsidRDefault="00C24AAF" w:rsidP="00867B80">
            <w:pPr>
              <w:spacing w:line="140" w:lineRule="atLeast"/>
              <w:rPr>
                <w:color w:val="000000"/>
                <w:sz w:val="12"/>
                <w:szCs w:val="12"/>
              </w:rPr>
            </w:pPr>
            <w:r w:rsidRPr="00C57DF0">
              <w:rPr>
                <w:rFonts w:ascii="Arial" w:eastAsia="Arial" w:hAnsi="Arial" w:cs="Arial"/>
                <w:color w:val="000000"/>
                <w:sz w:val="12"/>
                <w:szCs w:val="12"/>
              </w:rPr>
              <w:t xml:space="preserve">Beginning on </w:t>
            </w:r>
            <w:r w:rsidR="00290387">
              <w:rPr>
                <w:rFonts w:ascii="Arial" w:eastAsia="Arial" w:hAnsi="Arial" w:cs="Arial"/>
                <w:color w:val="000000"/>
                <w:sz w:val="12"/>
                <w:szCs w:val="12"/>
              </w:rPr>
              <w:t>May 26, 2026</w:t>
            </w:r>
            <w:r w:rsidRPr="00C57DF0">
              <w:rPr>
                <w:rFonts w:ascii="Arial" w:eastAsia="Arial" w:hAnsi="Arial" w:cs="Arial"/>
                <w:color w:val="000000"/>
                <w:sz w:val="12"/>
                <w:szCs w:val="12"/>
              </w:rPr>
              <w:t xml:space="preserve">, quarterly.  See “Observation Dates, Coupon Payment Dates and Redemption Dates” below.  </w:t>
            </w:r>
          </w:p>
        </w:tc>
      </w:tr>
      <w:tr w:rsidR="00BD53EC" w:rsidRPr="00C57DF0" w14:paraId="0A9D17E3" w14:textId="77777777" w:rsidTr="006B184B">
        <w:trPr>
          <w:cantSplit/>
          <w:trHeight w:val="703"/>
          <w:tblCellSpacing w:w="0" w:type="dxa"/>
        </w:trPr>
        <w:tc>
          <w:tcPr>
            <w:tcW w:w="1042" w:type="pct"/>
            <w:shd w:val="clear" w:color="auto" w:fill="FFFFFF"/>
            <w:tcMar>
              <w:top w:w="0" w:type="dxa"/>
              <w:left w:w="119" w:type="dxa"/>
              <w:bottom w:w="0" w:type="dxa"/>
              <w:right w:w="119" w:type="dxa"/>
            </w:tcMar>
            <w:hideMark/>
          </w:tcPr>
          <w:p w14:paraId="301E2002" w14:textId="77777777" w:rsidR="002C6D14" w:rsidRPr="00C57DF0" w:rsidRDefault="00C24AAF" w:rsidP="00262AA1">
            <w:pPr>
              <w:spacing w:line="140" w:lineRule="atLeast"/>
              <w:ind w:left="270"/>
              <w:rPr>
                <w:color w:val="000000"/>
                <w:sz w:val="12"/>
                <w:szCs w:val="12"/>
              </w:rPr>
            </w:pPr>
            <w:r w:rsidRPr="00C57DF0">
              <w:rPr>
                <w:rFonts w:ascii="Arial" w:eastAsia="Arial" w:hAnsi="Arial" w:cs="Arial"/>
                <w:b/>
                <w:bCs/>
                <w:color w:val="296DC1"/>
                <w:sz w:val="12"/>
                <w:szCs w:val="12"/>
              </w:rPr>
              <w:t>Contingent quarterly coupon:</w:t>
            </w:r>
          </w:p>
        </w:tc>
        <w:tc>
          <w:tcPr>
            <w:tcW w:w="3958" w:type="pct"/>
            <w:gridSpan w:val="4"/>
            <w:shd w:val="clear" w:color="auto" w:fill="FFFFFF"/>
            <w:tcMar>
              <w:top w:w="0" w:type="dxa"/>
              <w:left w:w="119" w:type="dxa"/>
              <w:bottom w:w="0" w:type="dxa"/>
              <w:right w:w="119" w:type="dxa"/>
            </w:tcMar>
            <w:vAlign w:val="center"/>
            <w:hideMark/>
          </w:tcPr>
          <w:p w14:paraId="0EBEB603" w14:textId="54A4C404" w:rsidR="002C6D14" w:rsidRPr="00C57DF0" w:rsidRDefault="00C24AAF" w:rsidP="00867B80">
            <w:pPr>
              <w:spacing w:line="140" w:lineRule="atLeast"/>
              <w:rPr>
                <w:color w:val="000000"/>
                <w:sz w:val="12"/>
                <w:szCs w:val="12"/>
              </w:rPr>
            </w:pPr>
            <w:r w:rsidRPr="00C57DF0">
              <w:rPr>
                <w:rFonts w:ascii="Arial" w:eastAsia="Arial" w:hAnsi="Arial" w:cs="Arial"/>
                <w:color w:val="000000"/>
                <w:sz w:val="12"/>
                <w:szCs w:val="12"/>
              </w:rPr>
              <w:t xml:space="preserve">If, on any observation date, the </w:t>
            </w:r>
            <w:r w:rsidR="004B51F0" w:rsidRPr="00C57DF0">
              <w:rPr>
                <w:rFonts w:ascii="Arial" w:eastAsia="Arial" w:hAnsi="Arial" w:cs="Arial"/>
                <w:color w:val="000000"/>
                <w:sz w:val="12"/>
                <w:szCs w:val="12"/>
              </w:rPr>
              <w:t>index closing value</w:t>
            </w:r>
            <w:r w:rsidRPr="00C57DF0">
              <w:rPr>
                <w:rFonts w:ascii="Arial" w:eastAsia="Arial" w:hAnsi="Arial" w:cs="Arial"/>
                <w:color w:val="000000"/>
                <w:sz w:val="12"/>
                <w:szCs w:val="12"/>
              </w:rPr>
              <w:t xml:space="preserve"> on such date is </w:t>
            </w:r>
            <w:r w:rsidRPr="00C57DF0">
              <w:rPr>
                <w:rFonts w:ascii="Arial" w:eastAsia="Arial" w:hAnsi="Arial" w:cs="Arial"/>
                <w:b/>
                <w:bCs/>
                <w:color w:val="000000"/>
                <w:sz w:val="12"/>
                <w:szCs w:val="12"/>
              </w:rPr>
              <w:t>greater than or equal to</w:t>
            </w:r>
            <w:r w:rsidRPr="00C57DF0">
              <w:rPr>
                <w:rFonts w:ascii="Arial" w:eastAsia="Arial" w:hAnsi="Arial" w:cs="Arial"/>
                <w:color w:val="000000"/>
                <w:sz w:val="12"/>
                <w:szCs w:val="12"/>
              </w:rPr>
              <w:t xml:space="preserve"> the coupon barrier level, we will pay a contingent quarterly coupon </w:t>
            </w:r>
            <w:r w:rsidR="00DE7680" w:rsidRPr="00C57DF0">
              <w:rPr>
                <w:rFonts w:ascii="Arial" w:eastAsia="Arial" w:hAnsi="Arial" w:cs="Arial"/>
                <w:color w:val="000000"/>
                <w:sz w:val="12"/>
                <w:szCs w:val="12"/>
              </w:rPr>
              <w:t>of</w:t>
            </w:r>
            <w:r w:rsidR="008D6BA0" w:rsidRPr="00C57DF0">
              <w:rPr>
                <w:rFonts w:ascii="Arial" w:eastAsia="Arial" w:hAnsi="Arial" w:cs="Arial"/>
                <w:color w:val="000000"/>
                <w:sz w:val="12"/>
                <w:szCs w:val="12"/>
              </w:rPr>
              <w:t xml:space="preserve"> </w:t>
            </w:r>
            <w:r w:rsidR="00A80421">
              <w:rPr>
                <w:rFonts w:ascii="Arial" w:eastAsia="Arial" w:hAnsi="Arial" w:cs="Arial"/>
                <w:color w:val="000000"/>
                <w:sz w:val="12"/>
                <w:szCs w:val="12"/>
              </w:rPr>
              <w:t>$21.375</w:t>
            </w:r>
            <w:r w:rsidR="00B95586" w:rsidRPr="00C57DF0">
              <w:rPr>
                <w:rFonts w:ascii="Arial" w:eastAsia="Arial" w:hAnsi="Arial" w:cs="Arial"/>
                <w:color w:val="000000"/>
                <w:sz w:val="12"/>
                <w:szCs w:val="12"/>
              </w:rPr>
              <w:t xml:space="preserve"> </w:t>
            </w:r>
            <w:r w:rsidR="0022047E" w:rsidRPr="00C57DF0">
              <w:rPr>
                <w:rFonts w:ascii="Arial" w:eastAsia="Arial" w:hAnsi="Arial" w:cs="Arial"/>
                <w:color w:val="000000"/>
                <w:sz w:val="12"/>
                <w:szCs w:val="12"/>
              </w:rPr>
              <w:t>per</w:t>
            </w:r>
            <w:r w:rsidR="00CA382B" w:rsidRPr="00C57DF0">
              <w:rPr>
                <w:rFonts w:ascii="Arial" w:eastAsia="Arial" w:hAnsi="Arial" w:cs="Arial"/>
                <w:color w:val="000000"/>
                <w:sz w:val="12"/>
                <w:szCs w:val="12"/>
              </w:rPr>
              <w:t xml:space="preserve"> security</w:t>
            </w:r>
            <w:r w:rsidR="00DE7680" w:rsidRPr="00C57DF0">
              <w:rPr>
                <w:rFonts w:ascii="Arial" w:eastAsia="Arial" w:hAnsi="Arial" w:cs="Arial"/>
                <w:color w:val="000000"/>
                <w:sz w:val="12"/>
                <w:szCs w:val="12"/>
              </w:rPr>
              <w:t xml:space="preserve"> (equal to a rate of</w:t>
            </w:r>
            <w:r w:rsidR="009A5D89">
              <w:rPr>
                <w:rFonts w:ascii="Arial" w:eastAsia="Arial" w:hAnsi="Arial" w:cs="Arial"/>
                <w:color w:val="000000"/>
                <w:sz w:val="12"/>
                <w:szCs w:val="12"/>
              </w:rPr>
              <w:t xml:space="preserve"> </w:t>
            </w:r>
            <w:r w:rsidR="00A80421">
              <w:rPr>
                <w:rFonts w:ascii="Arial" w:eastAsia="Arial" w:hAnsi="Arial" w:cs="Arial"/>
                <w:color w:val="000000"/>
                <w:sz w:val="12"/>
                <w:szCs w:val="12"/>
              </w:rPr>
              <w:t>2.1375%</w:t>
            </w:r>
            <w:r w:rsidR="00DE7680" w:rsidRPr="00C57DF0">
              <w:rPr>
                <w:rFonts w:ascii="Arial" w:eastAsia="Arial" w:hAnsi="Arial" w:cs="Arial"/>
                <w:color w:val="000000"/>
                <w:sz w:val="12"/>
                <w:szCs w:val="12"/>
              </w:rPr>
              <w:t xml:space="preserve"> per quarter </w:t>
            </w:r>
            <w:r w:rsidR="00864890" w:rsidRPr="00C57DF0">
              <w:rPr>
                <w:rFonts w:ascii="Arial" w:eastAsia="Arial" w:hAnsi="Arial" w:cs="Arial"/>
                <w:color w:val="000000"/>
                <w:sz w:val="12"/>
                <w:szCs w:val="12"/>
              </w:rPr>
              <w:t xml:space="preserve">or </w:t>
            </w:r>
            <w:r w:rsidR="00A80421">
              <w:rPr>
                <w:rFonts w:ascii="Arial" w:eastAsia="Arial" w:hAnsi="Arial" w:cs="Arial"/>
                <w:color w:val="000000"/>
                <w:sz w:val="12"/>
                <w:szCs w:val="12"/>
              </w:rPr>
              <w:t>8.55%</w:t>
            </w:r>
            <w:r w:rsidR="00DE7680" w:rsidRPr="00C57DF0">
              <w:rPr>
                <w:rFonts w:ascii="Arial" w:eastAsia="Arial" w:hAnsi="Arial" w:cs="Arial"/>
                <w:color w:val="000000"/>
                <w:sz w:val="12"/>
                <w:szCs w:val="12"/>
              </w:rPr>
              <w:t xml:space="preserve"> per annum)</w:t>
            </w:r>
            <w:r w:rsidRPr="00C57DF0">
              <w:rPr>
                <w:rFonts w:ascii="Arial" w:eastAsia="Arial" w:hAnsi="Arial" w:cs="Arial"/>
                <w:color w:val="000000"/>
                <w:sz w:val="12"/>
                <w:szCs w:val="12"/>
              </w:rPr>
              <w:t xml:space="preserve"> on the related coupon payment date.</w:t>
            </w:r>
          </w:p>
          <w:p w14:paraId="455936EE" w14:textId="1B24F6EC" w:rsidR="002C6D14" w:rsidRPr="00C57DF0" w:rsidRDefault="00C24AAF" w:rsidP="00867B80">
            <w:pPr>
              <w:spacing w:line="140" w:lineRule="atLeast"/>
              <w:rPr>
                <w:color w:val="000000"/>
                <w:sz w:val="12"/>
                <w:szCs w:val="12"/>
              </w:rPr>
            </w:pPr>
            <w:r w:rsidRPr="00C57DF0">
              <w:rPr>
                <w:rFonts w:ascii="Arial" w:eastAsia="Arial" w:hAnsi="Arial" w:cs="Arial"/>
                <w:color w:val="000000"/>
                <w:sz w:val="12"/>
                <w:szCs w:val="12"/>
              </w:rPr>
              <w:t xml:space="preserve">If, on any observation date, the </w:t>
            </w:r>
            <w:r w:rsidR="004B51F0" w:rsidRPr="00C57DF0">
              <w:rPr>
                <w:rFonts w:ascii="Arial" w:eastAsia="Arial" w:hAnsi="Arial" w:cs="Arial"/>
                <w:color w:val="000000"/>
                <w:sz w:val="12"/>
                <w:szCs w:val="12"/>
              </w:rPr>
              <w:t>index closing value</w:t>
            </w:r>
            <w:r w:rsidRPr="00C57DF0">
              <w:rPr>
                <w:rFonts w:ascii="Arial" w:eastAsia="Arial" w:hAnsi="Arial" w:cs="Arial"/>
                <w:color w:val="000000"/>
                <w:sz w:val="12"/>
                <w:szCs w:val="12"/>
              </w:rPr>
              <w:t xml:space="preserve"> on such date is </w:t>
            </w:r>
            <w:r w:rsidRPr="00C57DF0">
              <w:rPr>
                <w:rFonts w:ascii="Arial" w:eastAsia="Arial" w:hAnsi="Arial" w:cs="Arial"/>
                <w:b/>
                <w:bCs/>
                <w:color w:val="000000"/>
                <w:sz w:val="12"/>
                <w:szCs w:val="12"/>
              </w:rPr>
              <w:t>less than</w:t>
            </w:r>
            <w:r w:rsidRPr="00C57DF0">
              <w:rPr>
                <w:rFonts w:ascii="Arial" w:eastAsia="Arial" w:hAnsi="Arial" w:cs="Arial"/>
                <w:color w:val="000000"/>
                <w:sz w:val="12"/>
                <w:szCs w:val="12"/>
              </w:rPr>
              <w:t xml:space="preserve"> the coupon barrier level, no contingent quarterly coupon will be paid with respect to that observation date. </w:t>
            </w:r>
          </w:p>
        </w:tc>
      </w:tr>
      <w:tr w:rsidR="00BD53EC" w:rsidRPr="00C57DF0" w14:paraId="651282EB" w14:textId="77777777" w:rsidTr="006B184B">
        <w:trPr>
          <w:cantSplit/>
          <w:trHeight w:val="132"/>
          <w:tblCellSpacing w:w="0" w:type="dxa"/>
        </w:trPr>
        <w:tc>
          <w:tcPr>
            <w:tcW w:w="1042" w:type="pct"/>
            <w:shd w:val="clear" w:color="auto" w:fill="DCEBF4"/>
            <w:tcMar>
              <w:top w:w="0" w:type="dxa"/>
              <w:left w:w="119" w:type="dxa"/>
              <w:bottom w:w="0" w:type="dxa"/>
              <w:right w:w="119" w:type="dxa"/>
            </w:tcMar>
            <w:hideMark/>
          </w:tcPr>
          <w:p w14:paraId="47AA279F" w14:textId="77777777" w:rsidR="002C6D14" w:rsidRPr="00C57DF0" w:rsidRDefault="00C24AAF" w:rsidP="00262AA1">
            <w:pPr>
              <w:spacing w:line="140" w:lineRule="atLeast"/>
              <w:ind w:left="270"/>
              <w:rPr>
                <w:color w:val="000000"/>
                <w:sz w:val="12"/>
                <w:szCs w:val="12"/>
              </w:rPr>
            </w:pPr>
            <w:r w:rsidRPr="00C57DF0">
              <w:rPr>
                <w:rFonts w:ascii="Arial" w:eastAsia="Arial" w:hAnsi="Arial" w:cs="Arial"/>
                <w:b/>
                <w:bCs/>
                <w:color w:val="296DC1"/>
                <w:sz w:val="12"/>
                <w:szCs w:val="12"/>
              </w:rPr>
              <w:t>Payment at maturity:</w:t>
            </w:r>
          </w:p>
        </w:tc>
        <w:tc>
          <w:tcPr>
            <w:tcW w:w="3958" w:type="pct"/>
            <w:gridSpan w:val="4"/>
            <w:shd w:val="clear" w:color="auto" w:fill="DCEBF4"/>
            <w:tcMar>
              <w:top w:w="0" w:type="dxa"/>
              <w:left w:w="119" w:type="dxa"/>
              <w:bottom w:w="0" w:type="dxa"/>
              <w:right w:w="119" w:type="dxa"/>
            </w:tcMar>
            <w:hideMark/>
          </w:tcPr>
          <w:p w14:paraId="65BED587" w14:textId="77777777" w:rsidR="002C6D14" w:rsidRPr="00C57DF0" w:rsidRDefault="00C24AAF" w:rsidP="00867B80">
            <w:pPr>
              <w:spacing w:line="140" w:lineRule="atLeast"/>
              <w:rPr>
                <w:color w:val="000000"/>
                <w:sz w:val="12"/>
                <w:szCs w:val="12"/>
              </w:rPr>
            </w:pPr>
            <w:r w:rsidRPr="00C57DF0">
              <w:rPr>
                <w:rFonts w:ascii="Arial" w:eastAsia="Arial" w:hAnsi="Arial" w:cs="Arial"/>
                <w:color w:val="000000"/>
                <w:sz w:val="12"/>
                <w:szCs w:val="12"/>
              </w:rPr>
              <w:t>If the securities have not previously been redeemed, investors will receive on the maturity date a payment at maturity determined as follows:</w:t>
            </w:r>
          </w:p>
        </w:tc>
      </w:tr>
      <w:tr w:rsidR="00BD53EC" w:rsidRPr="00C57DF0" w14:paraId="352288F4" w14:textId="77777777" w:rsidTr="006B184B">
        <w:trPr>
          <w:cantSplit/>
          <w:trHeight w:val="285"/>
          <w:tblCellSpacing w:w="0" w:type="dxa"/>
        </w:trPr>
        <w:tc>
          <w:tcPr>
            <w:tcW w:w="1042" w:type="pct"/>
            <w:shd w:val="clear" w:color="auto" w:fill="DCEBF4"/>
            <w:tcMar>
              <w:top w:w="0" w:type="dxa"/>
              <w:left w:w="119" w:type="dxa"/>
              <w:bottom w:w="0" w:type="dxa"/>
              <w:right w:w="119" w:type="dxa"/>
            </w:tcMar>
            <w:hideMark/>
          </w:tcPr>
          <w:p w14:paraId="12355A46" w14:textId="77777777" w:rsidR="002C6D14" w:rsidRPr="00C57DF0" w:rsidRDefault="00C24AAF" w:rsidP="00262AA1">
            <w:pPr>
              <w:spacing w:line="140" w:lineRule="atLeast"/>
              <w:ind w:left="270"/>
              <w:rPr>
                <w:color w:val="000000"/>
                <w:sz w:val="12"/>
                <w:szCs w:val="12"/>
              </w:rPr>
            </w:pPr>
            <w:r w:rsidRPr="00C57DF0">
              <w:rPr>
                <w:rFonts w:ascii="Arial" w:eastAsia="Arial" w:hAnsi="Arial" w:cs="Arial"/>
                <w:b/>
                <w:bCs/>
                <w:color w:val="296DC1"/>
                <w:sz w:val="12"/>
                <w:szCs w:val="12"/>
              </w:rPr>
              <w:t> </w:t>
            </w:r>
          </w:p>
        </w:tc>
        <w:tc>
          <w:tcPr>
            <w:tcW w:w="1874" w:type="pct"/>
            <w:shd w:val="clear" w:color="auto" w:fill="DCEBF4"/>
            <w:tcMar>
              <w:top w:w="0" w:type="dxa"/>
              <w:left w:w="119" w:type="dxa"/>
              <w:bottom w:w="0" w:type="dxa"/>
              <w:right w:w="119" w:type="dxa"/>
            </w:tcMar>
            <w:hideMark/>
          </w:tcPr>
          <w:p w14:paraId="23D4EE4C" w14:textId="57976CA9" w:rsidR="002C6D14" w:rsidRPr="00C57DF0" w:rsidRDefault="00C24AAF" w:rsidP="00867B80">
            <w:pPr>
              <w:spacing w:line="140" w:lineRule="atLeast"/>
              <w:rPr>
                <w:color w:val="000000"/>
                <w:sz w:val="12"/>
                <w:szCs w:val="12"/>
              </w:rPr>
            </w:pPr>
            <w:r w:rsidRPr="00C57DF0">
              <w:rPr>
                <w:rFonts w:ascii="Arial" w:eastAsia="Arial" w:hAnsi="Arial" w:cs="Arial"/>
                <w:color w:val="000000"/>
                <w:sz w:val="12"/>
                <w:szCs w:val="12"/>
              </w:rPr>
              <w:t xml:space="preserve">If the </w:t>
            </w:r>
            <w:r w:rsidR="00B07BDF" w:rsidRPr="00C57DF0">
              <w:rPr>
                <w:rFonts w:ascii="Arial" w:eastAsia="Arial" w:hAnsi="Arial" w:cs="Arial"/>
                <w:color w:val="000000"/>
                <w:sz w:val="12"/>
                <w:szCs w:val="12"/>
              </w:rPr>
              <w:t>final index value</w:t>
            </w:r>
            <w:r w:rsidRPr="00C57DF0">
              <w:rPr>
                <w:rFonts w:ascii="Arial" w:eastAsia="Arial" w:hAnsi="Arial" w:cs="Arial"/>
                <w:color w:val="000000"/>
                <w:sz w:val="12"/>
                <w:szCs w:val="12"/>
              </w:rPr>
              <w:t xml:space="preserve"> is </w:t>
            </w:r>
            <w:r w:rsidRPr="00C57DF0">
              <w:rPr>
                <w:rFonts w:ascii="Arial" w:eastAsia="Arial" w:hAnsi="Arial" w:cs="Arial"/>
                <w:b/>
                <w:bCs/>
                <w:color w:val="000000"/>
                <w:sz w:val="12"/>
                <w:szCs w:val="12"/>
              </w:rPr>
              <w:t xml:space="preserve">greater than or equal to </w:t>
            </w:r>
            <w:r w:rsidRPr="00C57DF0">
              <w:rPr>
                <w:rFonts w:ascii="Arial" w:eastAsia="Arial" w:hAnsi="Arial" w:cs="Arial"/>
                <w:color w:val="000000"/>
                <w:sz w:val="12"/>
                <w:szCs w:val="12"/>
              </w:rPr>
              <w:t>the downside threshold level:</w:t>
            </w:r>
          </w:p>
        </w:tc>
        <w:tc>
          <w:tcPr>
            <w:tcW w:w="2068" w:type="pct"/>
            <w:gridSpan w:val="2"/>
            <w:shd w:val="clear" w:color="auto" w:fill="DCEBF4"/>
            <w:tcMar>
              <w:top w:w="0" w:type="dxa"/>
              <w:left w:w="119" w:type="dxa"/>
              <w:bottom w:w="0" w:type="dxa"/>
              <w:right w:w="119" w:type="dxa"/>
            </w:tcMar>
            <w:hideMark/>
          </w:tcPr>
          <w:p w14:paraId="3AC69C4C" w14:textId="77777777" w:rsidR="002C6D14" w:rsidRPr="00C57DF0" w:rsidRDefault="00C24AAF" w:rsidP="00262AA1">
            <w:pPr>
              <w:spacing w:line="140" w:lineRule="atLeast"/>
              <w:ind w:left="270"/>
              <w:rPr>
                <w:color w:val="000000"/>
                <w:sz w:val="12"/>
                <w:szCs w:val="12"/>
              </w:rPr>
            </w:pPr>
            <w:r w:rsidRPr="00C57DF0">
              <w:rPr>
                <w:rFonts w:ascii="Arial" w:eastAsia="Arial" w:hAnsi="Arial" w:cs="Arial"/>
                <w:color w:val="000000"/>
                <w:sz w:val="12"/>
                <w:szCs w:val="12"/>
              </w:rPr>
              <w:t>the stated principal amount and the contingent quarterly coupon with respect to the final observation date</w:t>
            </w:r>
          </w:p>
        </w:tc>
        <w:tc>
          <w:tcPr>
            <w:tcW w:w="15" w:type="pct"/>
            <w:tcMar>
              <w:top w:w="15" w:type="dxa"/>
              <w:left w:w="15" w:type="dxa"/>
              <w:bottom w:w="15" w:type="dxa"/>
              <w:right w:w="15" w:type="dxa"/>
            </w:tcMar>
            <w:hideMark/>
          </w:tcPr>
          <w:p w14:paraId="7066DC69" w14:textId="77777777" w:rsidR="002C6D14" w:rsidRPr="00C57DF0" w:rsidRDefault="002C6D14" w:rsidP="00262AA1">
            <w:pPr>
              <w:ind w:left="270"/>
              <w:rPr>
                <w:color w:val="000000"/>
                <w:sz w:val="12"/>
                <w:szCs w:val="12"/>
              </w:rPr>
            </w:pPr>
          </w:p>
        </w:tc>
      </w:tr>
      <w:tr w:rsidR="00BD53EC" w:rsidRPr="00C57DF0" w14:paraId="0834898D" w14:textId="77777777" w:rsidTr="006B184B">
        <w:trPr>
          <w:cantSplit/>
          <w:trHeight w:val="285"/>
          <w:tblCellSpacing w:w="0" w:type="dxa"/>
        </w:trPr>
        <w:tc>
          <w:tcPr>
            <w:tcW w:w="1042" w:type="pct"/>
            <w:shd w:val="clear" w:color="auto" w:fill="DCEBF4"/>
            <w:tcMar>
              <w:top w:w="0" w:type="dxa"/>
              <w:left w:w="119" w:type="dxa"/>
              <w:bottom w:w="0" w:type="dxa"/>
              <w:right w:w="119" w:type="dxa"/>
            </w:tcMar>
            <w:hideMark/>
          </w:tcPr>
          <w:p w14:paraId="08ECC632" w14:textId="77777777" w:rsidR="002C6D14" w:rsidRPr="00C57DF0" w:rsidRDefault="00C24AAF" w:rsidP="00262AA1">
            <w:pPr>
              <w:spacing w:line="140" w:lineRule="atLeast"/>
              <w:ind w:left="270"/>
              <w:rPr>
                <w:color w:val="000000"/>
                <w:sz w:val="12"/>
                <w:szCs w:val="12"/>
              </w:rPr>
            </w:pPr>
            <w:r w:rsidRPr="00C57DF0">
              <w:rPr>
                <w:rFonts w:ascii="Arial" w:eastAsia="Arial" w:hAnsi="Arial" w:cs="Arial"/>
                <w:b/>
                <w:bCs/>
                <w:color w:val="296DC1"/>
                <w:sz w:val="12"/>
                <w:szCs w:val="12"/>
              </w:rPr>
              <w:t> </w:t>
            </w:r>
          </w:p>
        </w:tc>
        <w:tc>
          <w:tcPr>
            <w:tcW w:w="1874" w:type="pct"/>
            <w:shd w:val="clear" w:color="auto" w:fill="DCEBF4"/>
            <w:tcMar>
              <w:top w:w="0" w:type="dxa"/>
              <w:left w:w="119" w:type="dxa"/>
              <w:bottom w:w="0" w:type="dxa"/>
              <w:right w:w="119" w:type="dxa"/>
            </w:tcMar>
            <w:hideMark/>
          </w:tcPr>
          <w:p w14:paraId="7E7C1F90" w14:textId="00182F93" w:rsidR="002C6D14" w:rsidRPr="00C57DF0" w:rsidRDefault="00C24AAF" w:rsidP="00867B80">
            <w:pPr>
              <w:spacing w:line="140" w:lineRule="atLeast"/>
              <w:rPr>
                <w:color w:val="000000"/>
                <w:sz w:val="12"/>
                <w:szCs w:val="12"/>
              </w:rPr>
            </w:pPr>
            <w:r w:rsidRPr="00C57DF0">
              <w:rPr>
                <w:rFonts w:ascii="Arial" w:eastAsia="Arial" w:hAnsi="Arial" w:cs="Arial"/>
                <w:color w:val="000000"/>
                <w:sz w:val="12"/>
                <w:szCs w:val="12"/>
              </w:rPr>
              <w:t xml:space="preserve">If the </w:t>
            </w:r>
            <w:r w:rsidR="00B07BDF" w:rsidRPr="00C57DF0">
              <w:rPr>
                <w:rFonts w:ascii="Arial" w:eastAsia="Arial" w:hAnsi="Arial" w:cs="Arial"/>
                <w:color w:val="000000"/>
                <w:sz w:val="12"/>
                <w:szCs w:val="12"/>
              </w:rPr>
              <w:t>final index value</w:t>
            </w:r>
            <w:r w:rsidRPr="00C57DF0">
              <w:rPr>
                <w:rFonts w:ascii="Arial" w:eastAsia="Arial" w:hAnsi="Arial" w:cs="Arial"/>
                <w:color w:val="000000"/>
                <w:sz w:val="12"/>
                <w:szCs w:val="12"/>
              </w:rPr>
              <w:t xml:space="preserve"> is </w:t>
            </w:r>
            <w:r w:rsidRPr="00C57DF0">
              <w:rPr>
                <w:rFonts w:ascii="Arial" w:eastAsia="Arial" w:hAnsi="Arial" w:cs="Arial"/>
                <w:b/>
                <w:bCs/>
                <w:color w:val="000000"/>
                <w:sz w:val="12"/>
                <w:szCs w:val="12"/>
              </w:rPr>
              <w:t xml:space="preserve">less than </w:t>
            </w:r>
            <w:r w:rsidRPr="00C57DF0">
              <w:rPr>
                <w:rFonts w:ascii="Arial" w:eastAsia="Arial" w:hAnsi="Arial" w:cs="Arial"/>
                <w:color w:val="000000"/>
                <w:sz w:val="12"/>
                <w:szCs w:val="12"/>
              </w:rPr>
              <w:t>the downside threshold level:</w:t>
            </w:r>
          </w:p>
        </w:tc>
        <w:tc>
          <w:tcPr>
            <w:tcW w:w="2068" w:type="pct"/>
            <w:gridSpan w:val="2"/>
            <w:shd w:val="clear" w:color="auto" w:fill="DCEBF4"/>
            <w:tcMar>
              <w:top w:w="0" w:type="dxa"/>
              <w:left w:w="119" w:type="dxa"/>
              <w:bottom w:w="0" w:type="dxa"/>
              <w:right w:w="119" w:type="dxa"/>
            </w:tcMar>
            <w:vAlign w:val="center"/>
            <w:hideMark/>
          </w:tcPr>
          <w:p w14:paraId="7AD3C860" w14:textId="77777777" w:rsidR="002C6D14" w:rsidRPr="00C57DF0" w:rsidRDefault="00C24AAF" w:rsidP="00262AA1">
            <w:pPr>
              <w:spacing w:line="140" w:lineRule="atLeast"/>
              <w:ind w:left="270"/>
              <w:rPr>
                <w:color w:val="000000"/>
                <w:sz w:val="12"/>
                <w:szCs w:val="12"/>
              </w:rPr>
            </w:pPr>
            <w:r w:rsidRPr="00C57DF0">
              <w:rPr>
                <w:rFonts w:ascii="Arial" w:eastAsia="Arial" w:hAnsi="Arial" w:cs="Arial"/>
                <w:color w:val="000000"/>
                <w:sz w:val="12"/>
                <w:szCs w:val="12"/>
              </w:rPr>
              <w:t xml:space="preserve">(i) the stated principal amount </w:t>
            </w:r>
            <w:r w:rsidRPr="00C57DF0">
              <w:rPr>
                <w:rFonts w:ascii="Arial" w:eastAsia="Arial" w:hAnsi="Arial" w:cs="Arial"/>
                <w:i/>
                <w:iCs/>
                <w:color w:val="000000"/>
                <w:sz w:val="12"/>
                <w:szCs w:val="12"/>
              </w:rPr>
              <w:t>multiplied by</w:t>
            </w:r>
            <w:r w:rsidRPr="00C57DF0">
              <w:rPr>
                <w:rFonts w:ascii="Arial" w:eastAsia="Arial" w:hAnsi="Arial" w:cs="Arial"/>
                <w:color w:val="000000"/>
                <w:sz w:val="12"/>
                <w:szCs w:val="12"/>
              </w:rPr>
              <w:t xml:space="preserve"> (ii) the index performance factor </w:t>
            </w:r>
          </w:p>
        </w:tc>
        <w:tc>
          <w:tcPr>
            <w:tcW w:w="15" w:type="pct"/>
            <w:tcMar>
              <w:top w:w="15" w:type="dxa"/>
              <w:left w:w="15" w:type="dxa"/>
              <w:bottom w:w="15" w:type="dxa"/>
              <w:right w:w="15" w:type="dxa"/>
            </w:tcMar>
            <w:hideMark/>
          </w:tcPr>
          <w:p w14:paraId="29BB0ED3" w14:textId="77777777" w:rsidR="002C6D14" w:rsidRPr="00C57DF0" w:rsidRDefault="002C6D14" w:rsidP="00262AA1">
            <w:pPr>
              <w:ind w:left="270"/>
              <w:rPr>
                <w:color w:val="000000"/>
                <w:sz w:val="12"/>
                <w:szCs w:val="12"/>
              </w:rPr>
            </w:pPr>
          </w:p>
        </w:tc>
      </w:tr>
      <w:tr w:rsidR="00BD53EC" w:rsidRPr="00C57DF0" w14:paraId="0EB3C6AF" w14:textId="77777777" w:rsidTr="006B184B">
        <w:trPr>
          <w:cantSplit/>
          <w:trHeight w:val="132"/>
          <w:tblCellSpacing w:w="0" w:type="dxa"/>
        </w:trPr>
        <w:tc>
          <w:tcPr>
            <w:tcW w:w="1042" w:type="pct"/>
            <w:shd w:val="clear" w:color="auto" w:fill="FFFFFF"/>
            <w:tcMar>
              <w:top w:w="0" w:type="dxa"/>
              <w:left w:w="119" w:type="dxa"/>
              <w:bottom w:w="0" w:type="dxa"/>
              <w:right w:w="119" w:type="dxa"/>
            </w:tcMar>
            <w:hideMark/>
          </w:tcPr>
          <w:p w14:paraId="628D91FB" w14:textId="77777777" w:rsidR="002C6D14" w:rsidRPr="00C57DF0" w:rsidRDefault="00C24AAF" w:rsidP="00262AA1">
            <w:pPr>
              <w:spacing w:line="140" w:lineRule="atLeast"/>
              <w:ind w:left="270"/>
              <w:rPr>
                <w:color w:val="000000"/>
                <w:sz w:val="12"/>
                <w:szCs w:val="12"/>
              </w:rPr>
            </w:pPr>
            <w:r w:rsidRPr="00C57DF0">
              <w:rPr>
                <w:rFonts w:ascii="Arial" w:eastAsia="Arial" w:hAnsi="Arial" w:cs="Arial"/>
                <w:b/>
                <w:bCs/>
                <w:color w:val="296DC1"/>
                <w:sz w:val="12"/>
                <w:szCs w:val="12"/>
              </w:rPr>
              <w:t>Coupon barrier level:</w:t>
            </w:r>
          </w:p>
        </w:tc>
        <w:tc>
          <w:tcPr>
            <w:tcW w:w="3958" w:type="pct"/>
            <w:gridSpan w:val="4"/>
            <w:shd w:val="clear" w:color="auto" w:fill="FFFFFF"/>
            <w:tcMar>
              <w:top w:w="0" w:type="dxa"/>
              <w:left w:w="119" w:type="dxa"/>
              <w:bottom w:w="0" w:type="dxa"/>
              <w:right w:w="119" w:type="dxa"/>
            </w:tcMar>
            <w:hideMark/>
          </w:tcPr>
          <w:p w14:paraId="6C262704" w14:textId="22FDDE73" w:rsidR="002C6D14" w:rsidRPr="00C57DF0" w:rsidRDefault="009A5D89" w:rsidP="009A5D89">
            <w:pPr>
              <w:spacing w:line="140" w:lineRule="atLeast"/>
              <w:rPr>
                <w:color w:val="000000"/>
                <w:sz w:val="12"/>
                <w:szCs w:val="12"/>
              </w:rPr>
            </w:pPr>
            <w:r>
              <w:rPr>
                <w:rFonts w:ascii="Arial" w:eastAsia="Arial" w:hAnsi="Arial" w:cs="Arial"/>
                <w:color w:val="000000"/>
                <w:sz w:val="12"/>
                <w:szCs w:val="12"/>
              </w:rPr>
              <w:t>5,527.61</w:t>
            </w:r>
            <w:r w:rsidR="00C24AAF" w:rsidRPr="00C57DF0">
              <w:rPr>
                <w:rFonts w:ascii="Arial" w:eastAsia="Arial" w:hAnsi="Arial" w:cs="Arial"/>
                <w:color w:val="000000"/>
                <w:sz w:val="12"/>
                <w:szCs w:val="12"/>
              </w:rPr>
              <w:t xml:space="preserve">, which is equal to </w:t>
            </w:r>
            <w:r w:rsidR="00B66851" w:rsidRPr="00C57DF0">
              <w:rPr>
                <w:rFonts w:ascii="Arial" w:eastAsia="Arial" w:hAnsi="Arial" w:cs="Arial"/>
                <w:color w:val="000000"/>
                <w:sz w:val="12"/>
                <w:szCs w:val="12"/>
              </w:rPr>
              <w:t>80</w:t>
            </w:r>
            <w:r w:rsidR="00D56F33" w:rsidRPr="00C57DF0">
              <w:rPr>
                <w:rFonts w:ascii="Arial" w:eastAsia="Arial" w:hAnsi="Arial" w:cs="Arial"/>
                <w:color w:val="000000"/>
                <w:sz w:val="12"/>
                <w:szCs w:val="12"/>
              </w:rPr>
              <w:t>%</w:t>
            </w:r>
            <w:r w:rsidR="00C24AAF" w:rsidRPr="00C57DF0">
              <w:rPr>
                <w:rFonts w:ascii="Arial" w:eastAsia="Arial" w:hAnsi="Arial" w:cs="Arial"/>
                <w:color w:val="000000"/>
                <w:sz w:val="12"/>
                <w:szCs w:val="12"/>
              </w:rPr>
              <w:t xml:space="preserve"> of the </w:t>
            </w:r>
            <w:r w:rsidR="00B07BDF" w:rsidRPr="00C57DF0">
              <w:rPr>
                <w:rFonts w:ascii="Arial" w:eastAsia="Arial" w:hAnsi="Arial" w:cs="Arial"/>
                <w:color w:val="000000"/>
                <w:sz w:val="12"/>
                <w:szCs w:val="12"/>
              </w:rPr>
              <w:t>initial index value</w:t>
            </w:r>
            <w:r>
              <w:rPr>
                <w:rFonts w:ascii="Arial" w:eastAsia="Arial" w:hAnsi="Arial" w:cs="Arial"/>
                <w:color w:val="000000"/>
                <w:sz w:val="12"/>
                <w:szCs w:val="12"/>
              </w:rPr>
              <w:t xml:space="preserve"> (rounded to two decimal places)</w:t>
            </w:r>
          </w:p>
        </w:tc>
      </w:tr>
      <w:tr w:rsidR="00BD53EC" w:rsidRPr="00C57DF0" w14:paraId="3D649C23" w14:textId="77777777" w:rsidTr="006B184B">
        <w:trPr>
          <w:cantSplit/>
          <w:trHeight w:val="142"/>
          <w:tblCellSpacing w:w="0" w:type="dxa"/>
        </w:trPr>
        <w:tc>
          <w:tcPr>
            <w:tcW w:w="1042" w:type="pct"/>
            <w:shd w:val="clear" w:color="auto" w:fill="DCEBF4"/>
            <w:tcMar>
              <w:top w:w="0" w:type="dxa"/>
              <w:left w:w="119" w:type="dxa"/>
              <w:bottom w:w="0" w:type="dxa"/>
              <w:right w:w="119" w:type="dxa"/>
            </w:tcMar>
            <w:vAlign w:val="center"/>
            <w:hideMark/>
          </w:tcPr>
          <w:p w14:paraId="21D9CF5D" w14:textId="77777777" w:rsidR="002C6D14" w:rsidRPr="00C57DF0" w:rsidRDefault="00C24AAF" w:rsidP="00262AA1">
            <w:pPr>
              <w:spacing w:line="140" w:lineRule="atLeast"/>
              <w:ind w:left="270"/>
              <w:rPr>
                <w:color w:val="000000"/>
                <w:sz w:val="12"/>
                <w:szCs w:val="12"/>
              </w:rPr>
            </w:pPr>
            <w:r w:rsidRPr="00C57DF0">
              <w:rPr>
                <w:rFonts w:ascii="Arial" w:eastAsia="Arial" w:hAnsi="Arial" w:cs="Arial"/>
                <w:b/>
                <w:bCs/>
                <w:color w:val="296DC1"/>
                <w:sz w:val="12"/>
                <w:szCs w:val="12"/>
              </w:rPr>
              <w:t>Downside threshold level:</w:t>
            </w:r>
          </w:p>
        </w:tc>
        <w:tc>
          <w:tcPr>
            <w:tcW w:w="3958" w:type="pct"/>
            <w:gridSpan w:val="4"/>
            <w:shd w:val="clear" w:color="auto" w:fill="DCEBF4"/>
            <w:tcMar>
              <w:top w:w="0" w:type="dxa"/>
              <w:left w:w="119" w:type="dxa"/>
              <w:bottom w:w="0" w:type="dxa"/>
              <w:right w:w="119" w:type="dxa"/>
            </w:tcMar>
            <w:vAlign w:val="center"/>
            <w:hideMark/>
          </w:tcPr>
          <w:p w14:paraId="3BF4E792" w14:textId="5423A0CF" w:rsidR="002C6D14" w:rsidRPr="00C57DF0" w:rsidRDefault="009A5D89" w:rsidP="009A5D89">
            <w:pPr>
              <w:spacing w:line="140" w:lineRule="atLeast"/>
              <w:rPr>
                <w:color w:val="000000"/>
                <w:sz w:val="12"/>
                <w:szCs w:val="12"/>
              </w:rPr>
            </w:pPr>
            <w:r>
              <w:rPr>
                <w:rFonts w:ascii="Arial" w:eastAsia="Arial" w:hAnsi="Arial" w:cs="Arial"/>
                <w:color w:val="000000"/>
                <w:sz w:val="12"/>
                <w:szCs w:val="12"/>
              </w:rPr>
              <w:t>5,527.61</w:t>
            </w:r>
            <w:r w:rsidRPr="00C57DF0">
              <w:rPr>
                <w:rFonts w:ascii="Arial" w:eastAsia="Arial" w:hAnsi="Arial" w:cs="Arial"/>
                <w:color w:val="000000"/>
                <w:sz w:val="12"/>
                <w:szCs w:val="12"/>
              </w:rPr>
              <w:t>, which is equal to 80% of the initial index value</w:t>
            </w:r>
            <w:r>
              <w:rPr>
                <w:rFonts w:ascii="Arial" w:eastAsia="Arial" w:hAnsi="Arial" w:cs="Arial"/>
                <w:color w:val="000000"/>
                <w:sz w:val="12"/>
                <w:szCs w:val="12"/>
              </w:rPr>
              <w:t xml:space="preserve"> (rounded to two decimal places)</w:t>
            </w:r>
          </w:p>
        </w:tc>
      </w:tr>
      <w:tr w:rsidR="00BD53EC" w:rsidRPr="00C57DF0" w14:paraId="426E86A3" w14:textId="77777777" w:rsidTr="006B184B">
        <w:trPr>
          <w:cantSplit/>
          <w:trHeight w:val="132"/>
          <w:tblCellSpacing w:w="0" w:type="dxa"/>
        </w:trPr>
        <w:tc>
          <w:tcPr>
            <w:tcW w:w="1042" w:type="pct"/>
            <w:shd w:val="clear" w:color="auto" w:fill="FFFFFF"/>
            <w:tcMar>
              <w:top w:w="0" w:type="dxa"/>
              <w:left w:w="119" w:type="dxa"/>
              <w:bottom w:w="0" w:type="dxa"/>
              <w:right w:w="119" w:type="dxa"/>
            </w:tcMar>
            <w:hideMark/>
          </w:tcPr>
          <w:p w14:paraId="57C6CB39" w14:textId="77777777" w:rsidR="002C6D14" w:rsidRPr="00C57DF0" w:rsidRDefault="00C24AAF" w:rsidP="00262AA1">
            <w:pPr>
              <w:spacing w:line="140" w:lineRule="atLeast"/>
              <w:ind w:left="270"/>
              <w:rPr>
                <w:color w:val="000000"/>
                <w:sz w:val="12"/>
                <w:szCs w:val="12"/>
              </w:rPr>
            </w:pPr>
            <w:r w:rsidRPr="00C57DF0">
              <w:rPr>
                <w:rFonts w:ascii="Arial" w:eastAsia="Arial" w:hAnsi="Arial" w:cs="Arial"/>
                <w:b/>
                <w:bCs/>
                <w:color w:val="296DC1"/>
                <w:sz w:val="12"/>
                <w:szCs w:val="12"/>
              </w:rPr>
              <w:t> </w:t>
            </w:r>
          </w:p>
        </w:tc>
        <w:tc>
          <w:tcPr>
            <w:tcW w:w="3958" w:type="pct"/>
            <w:gridSpan w:val="4"/>
            <w:shd w:val="clear" w:color="auto" w:fill="FFFFFF"/>
            <w:tcMar>
              <w:top w:w="0" w:type="dxa"/>
              <w:left w:w="119" w:type="dxa"/>
              <w:bottom w:w="0" w:type="dxa"/>
              <w:right w:w="119" w:type="dxa"/>
            </w:tcMar>
            <w:vAlign w:val="center"/>
            <w:hideMark/>
          </w:tcPr>
          <w:p w14:paraId="006F21C1" w14:textId="77777777" w:rsidR="002C6D14" w:rsidRPr="00C57DF0" w:rsidRDefault="00C24AAF" w:rsidP="00262AA1">
            <w:pPr>
              <w:spacing w:line="140" w:lineRule="atLeast"/>
              <w:ind w:left="270"/>
              <w:jc w:val="right"/>
              <w:rPr>
                <w:color w:val="000000"/>
                <w:sz w:val="12"/>
                <w:szCs w:val="12"/>
              </w:rPr>
            </w:pPr>
            <w:r w:rsidRPr="00C57DF0">
              <w:rPr>
                <w:rFonts w:ascii="Arial" w:eastAsia="Arial" w:hAnsi="Arial" w:cs="Arial"/>
                <w:b/>
                <w:bCs/>
                <w:i/>
                <w:iCs/>
                <w:color w:val="000000"/>
                <w:sz w:val="12"/>
                <w:szCs w:val="12"/>
              </w:rPr>
              <w:t>Terms continued on the following page</w:t>
            </w:r>
          </w:p>
        </w:tc>
      </w:tr>
      <w:tr w:rsidR="00BD53EC" w:rsidRPr="00C57DF0" w14:paraId="6C814359" w14:textId="77777777" w:rsidTr="006B184B">
        <w:trPr>
          <w:cantSplit/>
          <w:trHeight w:val="142"/>
          <w:tblCellSpacing w:w="0" w:type="dxa"/>
        </w:trPr>
        <w:tc>
          <w:tcPr>
            <w:tcW w:w="1042" w:type="pct"/>
            <w:shd w:val="clear" w:color="auto" w:fill="DCEBF4"/>
            <w:tcMar>
              <w:top w:w="0" w:type="dxa"/>
              <w:left w:w="119" w:type="dxa"/>
              <w:bottom w:w="0" w:type="dxa"/>
              <w:right w:w="119" w:type="dxa"/>
            </w:tcMar>
            <w:hideMark/>
          </w:tcPr>
          <w:p w14:paraId="252FE46C" w14:textId="77777777" w:rsidR="002C6D14" w:rsidRPr="00C57DF0" w:rsidRDefault="00C24AAF" w:rsidP="00262AA1">
            <w:pPr>
              <w:spacing w:line="140" w:lineRule="atLeast"/>
              <w:ind w:left="270"/>
              <w:rPr>
                <w:color w:val="000000"/>
                <w:sz w:val="12"/>
                <w:szCs w:val="12"/>
              </w:rPr>
            </w:pPr>
            <w:r w:rsidRPr="00C57DF0">
              <w:rPr>
                <w:rFonts w:ascii="Arial" w:eastAsia="Arial" w:hAnsi="Arial" w:cs="Arial"/>
                <w:b/>
                <w:bCs/>
                <w:color w:val="296DC1"/>
                <w:sz w:val="12"/>
                <w:szCs w:val="12"/>
              </w:rPr>
              <w:t>Agent:</w:t>
            </w:r>
          </w:p>
        </w:tc>
        <w:tc>
          <w:tcPr>
            <w:tcW w:w="3958" w:type="pct"/>
            <w:gridSpan w:val="4"/>
            <w:shd w:val="clear" w:color="auto" w:fill="DCEBF4"/>
            <w:tcMar>
              <w:top w:w="0" w:type="dxa"/>
              <w:left w:w="119" w:type="dxa"/>
              <w:bottom w:w="0" w:type="dxa"/>
              <w:right w:w="119" w:type="dxa"/>
            </w:tcMar>
            <w:vAlign w:val="center"/>
            <w:hideMark/>
          </w:tcPr>
          <w:p w14:paraId="395AD3EF" w14:textId="7A718758" w:rsidR="002C6D14" w:rsidRPr="00C57DF0" w:rsidRDefault="00C24AAF" w:rsidP="00867B80">
            <w:pPr>
              <w:spacing w:line="140" w:lineRule="atLeast"/>
              <w:rPr>
                <w:color w:val="000000"/>
                <w:sz w:val="12"/>
                <w:szCs w:val="12"/>
              </w:rPr>
            </w:pPr>
            <w:bookmarkStart w:id="2" w:name="_Hlk197529034"/>
            <w:r w:rsidRPr="00C57DF0">
              <w:rPr>
                <w:rFonts w:ascii="Arial" w:eastAsia="Arial" w:hAnsi="Arial" w:cs="Arial"/>
                <w:color w:val="000000"/>
                <w:sz w:val="12"/>
                <w:szCs w:val="12"/>
              </w:rPr>
              <w:t>BofA Securities, Inc. (“BofAS”)</w:t>
            </w:r>
            <w:bookmarkEnd w:id="2"/>
            <w:r w:rsidR="00262AA1" w:rsidRPr="00C57DF0">
              <w:rPr>
                <w:rFonts w:ascii="Arial" w:eastAsia="Arial" w:hAnsi="Arial" w:cs="Arial"/>
                <w:color w:val="000000"/>
                <w:sz w:val="12"/>
                <w:szCs w:val="12"/>
              </w:rPr>
              <w:t>, an affiliate of BofA Finance</w:t>
            </w:r>
          </w:p>
        </w:tc>
      </w:tr>
      <w:tr w:rsidR="00BD53EC" w:rsidRPr="00C57DF0" w14:paraId="4DB1AD10" w14:textId="77777777" w:rsidTr="006B184B">
        <w:trPr>
          <w:cantSplit/>
          <w:trHeight w:val="275"/>
          <w:tblCellSpacing w:w="0" w:type="dxa"/>
        </w:trPr>
        <w:tc>
          <w:tcPr>
            <w:tcW w:w="1042" w:type="pct"/>
            <w:shd w:val="clear" w:color="auto" w:fill="FFFFFF"/>
            <w:tcMar>
              <w:top w:w="0" w:type="dxa"/>
              <w:left w:w="119" w:type="dxa"/>
              <w:bottom w:w="0" w:type="dxa"/>
              <w:right w:w="119" w:type="dxa"/>
            </w:tcMar>
            <w:hideMark/>
          </w:tcPr>
          <w:p w14:paraId="3601B122" w14:textId="77777777" w:rsidR="002C6D14" w:rsidRPr="00C57DF0" w:rsidRDefault="00C24AAF" w:rsidP="00262AA1">
            <w:pPr>
              <w:spacing w:line="140" w:lineRule="atLeast"/>
              <w:ind w:left="270"/>
              <w:rPr>
                <w:color w:val="000000"/>
                <w:sz w:val="12"/>
                <w:szCs w:val="12"/>
              </w:rPr>
            </w:pPr>
            <w:r w:rsidRPr="00C57DF0">
              <w:rPr>
                <w:rFonts w:ascii="Arial" w:eastAsia="Arial" w:hAnsi="Arial" w:cs="Arial"/>
                <w:b/>
                <w:bCs/>
                <w:color w:val="296DC1"/>
                <w:sz w:val="12"/>
                <w:szCs w:val="12"/>
              </w:rPr>
              <w:t>Estimated value on the pricing date:</w:t>
            </w:r>
          </w:p>
        </w:tc>
        <w:tc>
          <w:tcPr>
            <w:tcW w:w="3958" w:type="pct"/>
            <w:gridSpan w:val="4"/>
            <w:shd w:val="clear" w:color="auto" w:fill="FFFFFF"/>
            <w:tcMar>
              <w:top w:w="0" w:type="dxa"/>
              <w:left w:w="119" w:type="dxa"/>
              <w:bottom w:w="0" w:type="dxa"/>
              <w:right w:w="119" w:type="dxa"/>
            </w:tcMar>
            <w:hideMark/>
          </w:tcPr>
          <w:p w14:paraId="79F52C4E" w14:textId="33EB18B9" w:rsidR="002C6D14" w:rsidRPr="00C57DF0" w:rsidRDefault="00C24AAF" w:rsidP="00867B80">
            <w:pPr>
              <w:spacing w:line="140" w:lineRule="atLeast"/>
              <w:rPr>
                <w:color w:val="000000"/>
                <w:sz w:val="12"/>
                <w:szCs w:val="12"/>
              </w:rPr>
            </w:pPr>
            <w:r w:rsidRPr="00C57DF0">
              <w:rPr>
                <w:rFonts w:ascii="Arial" w:eastAsia="Arial" w:hAnsi="Arial" w:cs="Arial"/>
                <w:color w:val="000000"/>
                <w:sz w:val="12"/>
                <w:szCs w:val="12"/>
              </w:rPr>
              <w:t>$</w:t>
            </w:r>
            <w:r w:rsidR="00E8672F" w:rsidRPr="00C57DF0">
              <w:rPr>
                <w:rFonts w:ascii="Arial" w:eastAsia="Arial" w:hAnsi="Arial" w:cs="Arial"/>
                <w:color w:val="000000"/>
                <w:sz w:val="12"/>
                <w:szCs w:val="12"/>
              </w:rPr>
              <w:t>9</w:t>
            </w:r>
            <w:r w:rsidR="00CB03A1" w:rsidRPr="00C57DF0">
              <w:rPr>
                <w:rFonts w:ascii="Arial" w:eastAsia="Arial" w:hAnsi="Arial" w:cs="Arial"/>
                <w:color w:val="000000"/>
                <w:sz w:val="12"/>
                <w:szCs w:val="12"/>
              </w:rPr>
              <w:t>7</w:t>
            </w:r>
            <w:r w:rsidR="009A5D89">
              <w:rPr>
                <w:rFonts w:ascii="Arial" w:eastAsia="Arial" w:hAnsi="Arial" w:cs="Arial"/>
                <w:color w:val="000000"/>
                <w:sz w:val="12"/>
                <w:szCs w:val="12"/>
              </w:rPr>
              <w:t>8</w:t>
            </w:r>
            <w:r w:rsidR="00E8672F" w:rsidRPr="00C57DF0">
              <w:rPr>
                <w:rFonts w:ascii="Arial" w:eastAsia="Arial" w:hAnsi="Arial" w:cs="Arial"/>
                <w:color w:val="000000"/>
                <w:sz w:val="12"/>
                <w:szCs w:val="12"/>
              </w:rPr>
              <w:t>.</w:t>
            </w:r>
            <w:r w:rsidR="009A5D89">
              <w:rPr>
                <w:rFonts w:ascii="Arial" w:eastAsia="Arial" w:hAnsi="Arial" w:cs="Arial"/>
                <w:color w:val="000000"/>
                <w:sz w:val="12"/>
                <w:szCs w:val="12"/>
              </w:rPr>
              <w:t>1</w:t>
            </w:r>
            <w:r w:rsidR="00E8672F" w:rsidRPr="00C57DF0">
              <w:rPr>
                <w:rFonts w:ascii="Arial" w:eastAsia="Arial" w:hAnsi="Arial" w:cs="Arial"/>
                <w:color w:val="000000"/>
                <w:sz w:val="12"/>
                <w:szCs w:val="12"/>
              </w:rPr>
              <w:t>0</w:t>
            </w:r>
            <w:r w:rsidRPr="00C57DF0">
              <w:rPr>
                <w:rFonts w:ascii="Arial" w:eastAsia="Arial" w:hAnsi="Arial" w:cs="Arial"/>
                <w:color w:val="000000"/>
                <w:sz w:val="12"/>
                <w:szCs w:val="12"/>
              </w:rPr>
              <w:t xml:space="preserve"> per $1,000 in principal amount of securities, which is less than the price to public listed below. The actual value of your securities at any time will reflect many factors and cannot be predicted with accuracy. See “Structuring the </w:t>
            </w:r>
            <w:r w:rsidR="003B07B0" w:rsidRPr="00C57DF0">
              <w:rPr>
                <w:rFonts w:ascii="Arial" w:eastAsia="Arial" w:hAnsi="Arial" w:cs="Arial"/>
                <w:color w:val="000000"/>
                <w:sz w:val="12"/>
                <w:szCs w:val="12"/>
              </w:rPr>
              <w:t>securities</w:t>
            </w:r>
            <w:r w:rsidRPr="00C57DF0">
              <w:rPr>
                <w:rFonts w:ascii="Arial" w:eastAsia="Arial" w:hAnsi="Arial" w:cs="Arial"/>
                <w:color w:val="000000"/>
                <w:sz w:val="12"/>
                <w:szCs w:val="12"/>
              </w:rPr>
              <w:t xml:space="preserve">” </w:t>
            </w:r>
            <w:r w:rsidR="00262AA1" w:rsidRPr="00C57DF0">
              <w:rPr>
                <w:rFonts w:ascii="Arial" w:eastAsia="Arial" w:hAnsi="Arial" w:cs="Arial"/>
                <w:color w:val="000000"/>
                <w:sz w:val="12"/>
                <w:szCs w:val="12"/>
              </w:rPr>
              <w:t>in this pricing supplement</w:t>
            </w:r>
            <w:r w:rsidRPr="00C57DF0">
              <w:rPr>
                <w:rFonts w:ascii="Arial" w:eastAsia="Arial" w:hAnsi="Arial" w:cs="Arial"/>
                <w:color w:val="000000"/>
                <w:sz w:val="12"/>
                <w:szCs w:val="12"/>
              </w:rPr>
              <w:t>.</w:t>
            </w:r>
          </w:p>
        </w:tc>
      </w:tr>
      <w:tr w:rsidR="00BD53EC" w:rsidRPr="00C57DF0" w14:paraId="16B33282" w14:textId="77777777" w:rsidTr="006B184B">
        <w:trPr>
          <w:cantSplit/>
          <w:trHeight w:val="275"/>
          <w:tblCellSpacing w:w="0" w:type="dxa"/>
        </w:trPr>
        <w:tc>
          <w:tcPr>
            <w:tcW w:w="1042" w:type="pct"/>
            <w:shd w:val="clear" w:color="auto" w:fill="DCEBF4"/>
            <w:tcMar>
              <w:top w:w="0" w:type="dxa"/>
              <w:left w:w="119" w:type="dxa"/>
              <w:bottom w:w="0" w:type="dxa"/>
              <w:right w:w="119" w:type="dxa"/>
            </w:tcMar>
            <w:hideMark/>
          </w:tcPr>
          <w:p w14:paraId="34491B0D" w14:textId="77777777" w:rsidR="002C6D14" w:rsidRPr="00C57DF0" w:rsidRDefault="00C24AAF" w:rsidP="00262AA1">
            <w:pPr>
              <w:spacing w:line="140" w:lineRule="atLeast"/>
              <w:ind w:left="270"/>
              <w:rPr>
                <w:color w:val="000000"/>
                <w:sz w:val="12"/>
                <w:szCs w:val="12"/>
              </w:rPr>
            </w:pPr>
            <w:r w:rsidRPr="00C57DF0">
              <w:rPr>
                <w:rFonts w:ascii="Arial" w:eastAsia="Arial" w:hAnsi="Arial" w:cs="Arial"/>
                <w:b/>
                <w:bCs/>
                <w:color w:val="296DC1"/>
                <w:sz w:val="12"/>
                <w:szCs w:val="12"/>
              </w:rPr>
              <w:t>Commissions and issue price:</w:t>
            </w:r>
          </w:p>
        </w:tc>
        <w:tc>
          <w:tcPr>
            <w:tcW w:w="1874" w:type="pct"/>
            <w:shd w:val="clear" w:color="auto" w:fill="DCEBF4"/>
            <w:tcMar>
              <w:top w:w="0" w:type="dxa"/>
              <w:left w:w="119" w:type="dxa"/>
              <w:bottom w:w="0" w:type="dxa"/>
              <w:right w:w="119" w:type="dxa"/>
            </w:tcMar>
            <w:hideMark/>
          </w:tcPr>
          <w:p w14:paraId="739F8C33" w14:textId="77777777" w:rsidR="002C6D14" w:rsidRPr="00C57DF0" w:rsidRDefault="00C24AAF" w:rsidP="00262AA1">
            <w:pPr>
              <w:spacing w:line="140" w:lineRule="atLeast"/>
              <w:ind w:left="270"/>
              <w:jc w:val="center"/>
              <w:rPr>
                <w:color w:val="000000"/>
                <w:sz w:val="12"/>
                <w:szCs w:val="12"/>
              </w:rPr>
            </w:pPr>
            <w:r w:rsidRPr="00C57DF0">
              <w:rPr>
                <w:rFonts w:ascii="Arial" w:eastAsia="Arial" w:hAnsi="Arial" w:cs="Arial"/>
                <w:b/>
                <w:bCs/>
                <w:color w:val="296DC1"/>
                <w:sz w:val="12"/>
                <w:szCs w:val="12"/>
              </w:rPr>
              <w:t>Price to public</w:t>
            </w:r>
          </w:p>
        </w:tc>
        <w:tc>
          <w:tcPr>
            <w:tcW w:w="1249" w:type="pct"/>
            <w:shd w:val="clear" w:color="auto" w:fill="DCEBF4"/>
            <w:tcMar>
              <w:top w:w="0" w:type="dxa"/>
              <w:left w:w="119" w:type="dxa"/>
              <w:bottom w:w="0" w:type="dxa"/>
              <w:right w:w="119" w:type="dxa"/>
            </w:tcMar>
            <w:hideMark/>
          </w:tcPr>
          <w:p w14:paraId="4AD26F7F" w14:textId="77777777" w:rsidR="002C6D14" w:rsidRPr="00C57DF0" w:rsidRDefault="00C24AAF" w:rsidP="00262AA1">
            <w:pPr>
              <w:spacing w:line="140" w:lineRule="atLeast"/>
              <w:ind w:left="270"/>
              <w:jc w:val="center"/>
              <w:rPr>
                <w:color w:val="000000"/>
                <w:sz w:val="12"/>
                <w:szCs w:val="12"/>
              </w:rPr>
            </w:pPr>
            <w:r w:rsidRPr="00C57DF0">
              <w:rPr>
                <w:rFonts w:ascii="Arial" w:eastAsia="Arial" w:hAnsi="Arial" w:cs="Arial"/>
                <w:b/>
                <w:bCs/>
                <w:color w:val="296DC1"/>
                <w:sz w:val="12"/>
                <w:szCs w:val="12"/>
              </w:rPr>
              <w:t>Agent’s commissions</w:t>
            </w:r>
            <w:r w:rsidRPr="00C57DF0">
              <w:rPr>
                <w:rFonts w:ascii="Arial" w:eastAsia="Arial" w:hAnsi="Arial" w:cs="Arial"/>
                <w:b/>
                <w:bCs/>
                <w:color w:val="296DC1"/>
                <w:sz w:val="12"/>
                <w:szCs w:val="12"/>
                <w:vertAlign w:val="superscript"/>
              </w:rPr>
              <w:t> </w:t>
            </w:r>
            <w:r w:rsidRPr="00C57DF0">
              <w:rPr>
                <w:rFonts w:ascii="Arial" w:eastAsia="Arial" w:hAnsi="Arial" w:cs="Arial"/>
                <w:b/>
                <w:bCs/>
                <w:color w:val="296DC1"/>
                <w:sz w:val="12"/>
                <w:szCs w:val="12"/>
              </w:rPr>
              <w:t>and fees</w:t>
            </w:r>
          </w:p>
        </w:tc>
        <w:tc>
          <w:tcPr>
            <w:tcW w:w="819" w:type="pct"/>
            <w:shd w:val="clear" w:color="auto" w:fill="DCEBF4"/>
            <w:tcMar>
              <w:top w:w="0" w:type="dxa"/>
              <w:left w:w="119" w:type="dxa"/>
              <w:bottom w:w="0" w:type="dxa"/>
              <w:right w:w="119" w:type="dxa"/>
            </w:tcMar>
            <w:hideMark/>
          </w:tcPr>
          <w:p w14:paraId="060C356E" w14:textId="77777777" w:rsidR="002C6D14" w:rsidRPr="00C57DF0" w:rsidRDefault="00C24AAF" w:rsidP="00262AA1">
            <w:pPr>
              <w:spacing w:line="140" w:lineRule="atLeast"/>
              <w:ind w:left="270"/>
              <w:jc w:val="center"/>
              <w:rPr>
                <w:color w:val="000000"/>
                <w:sz w:val="12"/>
                <w:szCs w:val="12"/>
              </w:rPr>
            </w:pPr>
            <w:r w:rsidRPr="00C57DF0">
              <w:rPr>
                <w:rFonts w:ascii="Arial" w:eastAsia="Arial" w:hAnsi="Arial" w:cs="Arial"/>
                <w:b/>
                <w:bCs/>
                <w:color w:val="296DC1"/>
                <w:sz w:val="12"/>
                <w:szCs w:val="12"/>
              </w:rPr>
              <w:t xml:space="preserve">Proceeds to </w:t>
            </w:r>
            <w:r w:rsidR="00DE7680" w:rsidRPr="00C57DF0">
              <w:rPr>
                <w:rFonts w:ascii="Arial" w:eastAsia="Arial" w:hAnsi="Arial" w:cs="Arial"/>
                <w:b/>
                <w:bCs/>
                <w:color w:val="296DC1"/>
                <w:sz w:val="12"/>
                <w:szCs w:val="12"/>
              </w:rPr>
              <w:t>BofA Finance</w:t>
            </w:r>
          </w:p>
        </w:tc>
        <w:tc>
          <w:tcPr>
            <w:tcW w:w="15" w:type="pct"/>
            <w:tcMar>
              <w:top w:w="15" w:type="dxa"/>
              <w:left w:w="15" w:type="dxa"/>
              <w:bottom w:w="15" w:type="dxa"/>
              <w:right w:w="15" w:type="dxa"/>
            </w:tcMar>
            <w:hideMark/>
          </w:tcPr>
          <w:p w14:paraId="1D6A6BB8" w14:textId="77777777" w:rsidR="002C6D14" w:rsidRPr="00C57DF0" w:rsidRDefault="002C6D14" w:rsidP="00262AA1">
            <w:pPr>
              <w:ind w:left="270"/>
              <w:rPr>
                <w:color w:val="000000"/>
                <w:sz w:val="12"/>
                <w:szCs w:val="12"/>
              </w:rPr>
            </w:pPr>
          </w:p>
        </w:tc>
      </w:tr>
      <w:tr w:rsidR="00BD53EC" w:rsidRPr="00C57DF0" w14:paraId="4ECEB8A4" w14:textId="77777777" w:rsidTr="006B184B">
        <w:trPr>
          <w:cantSplit/>
          <w:trHeight w:val="142"/>
          <w:tblCellSpacing w:w="0" w:type="dxa"/>
        </w:trPr>
        <w:tc>
          <w:tcPr>
            <w:tcW w:w="1042" w:type="pct"/>
            <w:shd w:val="clear" w:color="auto" w:fill="FFFFFF"/>
            <w:tcMar>
              <w:top w:w="0" w:type="dxa"/>
              <w:left w:w="119" w:type="dxa"/>
              <w:bottom w:w="0" w:type="dxa"/>
              <w:right w:w="119" w:type="dxa"/>
            </w:tcMar>
            <w:hideMark/>
          </w:tcPr>
          <w:p w14:paraId="73A575B2" w14:textId="77777777" w:rsidR="002C6D14" w:rsidRPr="00C57DF0" w:rsidRDefault="00C24AAF" w:rsidP="00262AA1">
            <w:pPr>
              <w:pBdr>
                <w:left w:val="none" w:sz="0" w:space="31" w:color="auto"/>
              </w:pBdr>
              <w:spacing w:line="140" w:lineRule="atLeast"/>
              <w:ind w:left="270" w:hanging="396"/>
              <w:rPr>
                <w:color w:val="000000"/>
                <w:sz w:val="12"/>
                <w:szCs w:val="12"/>
              </w:rPr>
            </w:pPr>
            <w:r w:rsidRPr="00C57DF0">
              <w:rPr>
                <w:rFonts w:ascii="Arial" w:eastAsia="Arial" w:hAnsi="Arial" w:cs="Arial"/>
                <w:b/>
                <w:bCs/>
                <w:color w:val="296DC1"/>
                <w:sz w:val="12"/>
                <w:szCs w:val="12"/>
              </w:rPr>
              <w:t>Per security</w:t>
            </w:r>
          </w:p>
        </w:tc>
        <w:tc>
          <w:tcPr>
            <w:tcW w:w="1874" w:type="pct"/>
            <w:shd w:val="clear" w:color="auto" w:fill="FFFFFF"/>
            <w:tcMar>
              <w:top w:w="0" w:type="dxa"/>
              <w:left w:w="119" w:type="dxa"/>
              <w:bottom w:w="0" w:type="dxa"/>
              <w:right w:w="119" w:type="dxa"/>
            </w:tcMar>
            <w:hideMark/>
          </w:tcPr>
          <w:p w14:paraId="2DA13104" w14:textId="33FA20D1" w:rsidR="002C6D14" w:rsidRPr="00C57DF0" w:rsidRDefault="00C24AAF" w:rsidP="00262AA1">
            <w:pPr>
              <w:spacing w:line="140" w:lineRule="atLeast"/>
              <w:ind w:left="270"/>
              <w:jc w:val="center"/>
              <w:rPr>
                <w:color w:val="000000"/>
                <w:sz w:val="12"/>
                <w:szCs w:val="12"/>
              </w:rPr>
            </w:pPr>
            <w:r w:rsidRPr="00C57DF0">
              <w:rPr>
                <w:rFonts w:ascii="Arial" w:eastAsia="Arial" w:hAnsi="Arial" w:cs="Arial"/>
                <w:color w:val="000000"/>
                <w:sz w:val="12"/>
                <w:szCs w:val="12"/>
              </w:rPr>
              <w:t>$1,000</w:t>
            </w:r>
            <w:r w:rsidR="008B446E" w:rsidRPr="00C57DF0">
              <w:rPr>
                <w:rFonts w:ascii="Arial" w:eastAsia="Arial" w:hAnsi="Arial" w:cs="Arial"/>
                <w:color w:val="000000"/>
                <w:sz w:val="12"/>
                <w:szCs w:val="12"/>
              </w:rPr>
              <w:t>.00</w:t>
            </w:r>
          </w:p>
        </w:tc>
        <w:tc>
          <w:tcPr>
            <w:tcW w:w="1249" w:type="pct"/>
            <w:shd w:val="clear" w:color="auto" w:fill="FFFFFF"/>
            <w:tcMar>
              <w:top w:w="0" w:type="dxa"/>
              <w:left w:w="119" w:type="dxa"/>
              <w:bottom w:w="0" w:type="dxa"/>
              <w:right w:w="119" w:type="dxa"/>
            </w:tcMar>
            <w:hideMark/>
          </w:tcPr>
          <w:p w14:paraId="1BE229F7" w14:textId="1BFA1C32" w:rsidR="002C6D14" w:rsidRPr="00C57DF0" w:rsidRDefault="00C24AAF" w:rsidP="00262AA1">
            <w:pPr>
              <w:spacing w:line="140" w:lineRule="atLeast"/>
              <w:ind w:left="270"/>
              <w:jc w:val="center"/>
              <w:rPr>
                <w:color w:val="000000"/>
                <w:sz w:val="12"/>
                <w:szCs w:val="12"/>
              </w:rPr>
            </w:pPr>
            <w:r w:rsidRPr="00C57DF0">
              <w:rPr>
                <w:rFonts w:ascii="Arial" w:eastAsia="Arial" w:hAnsi="Arial" w:cs="Arial"/>
                <w:color w:val="000000"/>
                <w:sz w:val="12"/>
                <w:szCs w:val="12"/>
              </w:rPr>
              <w:t>$</w:t>
            </w:r>
            <w:r w:rsidR="006704DB">
              <w:rPr>
                <w:rFonts w:ascii="Arial" w:eastAsia="Arial" w:hAnsi="Arial" w:cs="Arial"/>
                <w:color w:val="000000"/>
                <w:sz w:val="12"/>
                <w:szCs w:val="12"/>
              </w:rPr>
              <w:t>10.00</w:t>
            </w:r>
            <w:r w:rsidRPr="00C57DF0">
              <w:rPr>
                <w:rFonts w:ascii="Arial" w:eastAsia="Arial" w:hAnsi="Arial" w:cs="Arial"/>
                <w:color w:val="000000"/>
                <w:sz w:val="12"/>
                <w:szCs w:val="12"/>
                <w:vertAlign w:val="superscript"/>
              </w:rPr>
              <w:t>(1)</w:t>
            </w:r>
          </w:p>
        </w:tc>
        <w:tc>
          <w:tcPr>
            <w:tcW w:w="819" w:type="pct"/>
            <w:shd w:val="clear" w:color="auto" w:fill="FFFFFF"/>
            <w:tcMar>
              <w:top w:w="0" w:type="dxa"/>
              <w:left w:w="119" w:type="dxa"/>
              <w:bottom w:w="0" w:type="dxa"/>
              <w:right w:w="119" w:type="dxa"/>
            </w:tcMar>
            <w:hideMark/>
          </w:tcPr>
          <w:p w14:paraId="4E70B575" w14:textId="77777777" w:rsidR="002C6D14" w:rsidRPr="00C57DF0" w:rsidRDefault="00C24AAF" w:rsidP="00262AA1">
            <w:pPr>
              <w:spacing w:line="140" w:lineRule="atLeast"/>
              <w:ind w:left="270"/>
              <w:jc w:val="center"/>
              <w:rPr>
                <w:color w:val="000000"/>
                <w:sz w:val="12"/>
                <w:szCs w:val="12"/>
              </w:rPr>
            </w:pPr>
            <w:r w:rsidRPr="00C57DF0">
              <w:rPr>
                <w:rFonts w:ascii="Arial" w:eastAsia="Arial" w:hAnsi="Arial" w:cs="Arial"/>
                <w:color w:val="000000"/>
                <w:sz w:val="12"/>
                <w:szCs w:val="12"/>
              </w:rPr>
              <w:t> </w:t>
            </w:r>
          </w:p>
        </w:tc>
        <w:tc>
          <w:tcPr>
            <w:tcW w:w="15" w:type="pct"/>
            <w:tcMar>
              <w:top w:w="15" w:type="dxa"/>
              <w:left w:w="15" w:type="dxa"/>
              <w:bottom w:w="15" w:type="dxa"/>
              <w:right w:w="15" w:type="dxa"/>
            </w:tcMar>
            <w:hideMark/>
          </w:tcPr>
          <w:p w14:paraId="54EE2358" w14:textId="77777777" w:rsidR="002C6D14" w:rsidRPr="00C57DF0" w:rsidRDefault="002C6D14" w:rsidP="00262AA1">
            <w:pPr>
              <w:ind w:left="270"/>
              <w:rPr>
                <w:color w:val="000000"/>
                <w:sz w:val="12"/>
                <w:szCs w:val="12"/>
              </w:rPr>
            </w:pPr>
          </w:p>
        </w:tc>
      </w:tr>
      <w:tr w:rsidR="00BD53EC" w:rsidRPr="00C57DF0" w14:paraId="12613BA1" w14:textId="77777777" w:rsidTr="006B184B">
        <w:trPr>
          <w:cantSplit/>
          <w:trHeight w:val="152"/>
          <w:tblCellSpacing w:w="0" w:type="dxa"/>
        </w:trPr>
        <w:tc>
          <w:tcPr>
            <w:tcW w:w="1042" w:type="pct"/>
            <w:shd w:val="clear" w:color="auto" w:fill="DCEBF4"/>
            <w:tcMar>
              <w:top w:w="0" w:type="dxa"/>
              <w:left w:w="119" w:type="dxa"/>
              <w:bottom w:w="0" w:type="dxa"/>
              <w:right w:w="119" w:type="dxa"/>
            </w:tcMar>
            <w:hideMark/>
          </w:tcPr>
          <w:p w14:paraId="6B8E44F7" w14:textId="77777777" w:rsidR="002C6D14" w:rsidRPr="00C57DF0" w:rsidRDefault="00C24AAF" w:rsidP="00262AA1">
            <w:pPr>
              <w:pBdr>
                <w:left w:val="none" w:sz="0" w:space="31" w:color="auto"/>
              </w:pBdr>
              <w:spacing w:line="140" w:lineRule="atLeast"/>
              <w:ind w:left="270" w:hanging="396"/>
              <w:rPr>
                <w:color w:val="000000"/>
                <w:sz w:val="12"/>
                <w:szCs w:val="12"/>
              </w:rPr>
            </w:pPr>
            <w:r w:rsidRPr="00C57DF0">
              <w:rPr>
                <w:rFonts w:ascii="Arial" w:eastAsia="Arial" w:hAnsi="Arial" w:cs="Arial"/>
                <w:b/>
                <w:bCs/>
                <w:color w:val="296DC1"/>
                <w:sz w:val="12"/>
                <w:szCs w:val="12"/>
              </w:rPr>
              <w:t> </w:t>
            </w:r>
          </w:p>
        </w:tc>
        <w:tc>
          <w:tcPr>
            <w:tcW w:w="1874" w:type="pct"/>
            <w:shd w:val="clear" w:color="auto" w:fill="DCEBF4"/>
            <w:tcMar>
              <w:top w:w="0" w:type="dxa"/>
              <w:left w:w="119" w:type="dxa"/>
              <w:bottom w:w="0" w:type="dxa"/>
              <w:right w:w="119" w:type="dxa"/>
            </w:tcMar>
            <w:hideMark/>
          </w:tcPr>
          <w:p w14:paraId="4BF8AC52" w14:textId="77777777" w:rsidR="002C6D14" w:rsidRPr="00C57DF0" w:rsidRDefault="00C24AAF" w:rsidP="00262AA1">
            <w:pPr>
              <w:spacing w:line="140" w:lineRule="atLeast"/>
              <w:ind w:left="270"/>
              <w:jc w:val="center"/>
              <w:rPr>
                <w:color w:val="000000"/>
                <w:sz w:val="12"/>
                <w:szCs w:val="12"/>
              </w:rPr>
            </w:pPr>
            <w:r w:rsidRPr="00C57DF0">
              <w:rPr>
                <w:rFonts w:ascii="Arial" w:eastAsia="Arial" w:hAnsi="Arial" w:cs="Arial"/>
                <w:color w:val="000000"/>
                <w:sz w:val="12"/>
                <w:szCs w:val="12"/>
              </w:rPr>
              <w:t> </w:t>
            </w:r>
          </w:p>
        </w:tc>
        <w:tc>
          <w:tcPr>
            <w:tcW w:w="1249" w:type="pct"/>
            <w:shd w:val="clear" w:color="auto" w:fill="DCEBF4"/>
            <w:tcMar>
              <w:top w:w="0" w:type="dxa"/>
              <w:left w:w="119" w:type="dxa"/>
              <w:bottom w:w="0" w:type="dxa"/>
              <w:right w:w="119" w:type="dxa"/>
            </w:tcMar>
            <w:hideMark/>
          </w:tcPr>
          <w:p w14:paraId="1DF7918B" w14:textId="3664F1DF" w:rsidR="002C6D14" w:rsidRPr="00C57DF0" w:rsidRDefault="00C24AAF" w:rsidP="00262AA1">
            <w:pPr>
              <w:spacing w:line="140" w:lineRule="atLeast"/>
              <w:ind w:left="270"/>
              <w:jc w:val="center"/>
              <w:rPr>
                <w:color w:val="000000"/>
                <w:sz w:val="12"/>
                <w:szCs w:val="12"/>
              </w:rPr>
            </w:pPr>
            <w:r w:rsidRPr="00C57DF0">
              <w:rPr>
                <w:rFonts w:ascii="Arial" w:eastAsia="Arial" w:hAnsi="Arial" w:cs="Arial"/>
                <w:color w:val="000000"/>
                <w:sz w:val="12"/>
                <w:szCs w:val="12"/>
              </w:rPr>
              <w:t>$</w:t>
            </w:r>
            <w:r w:rsidR="006704DB">
              <w:rPr>
                <w:rFonts w:ascii="Arial" w:eastAsia="Arial" w:hAnsi="Arial" w:cs="Arial"/>
                <w:color w:val="000000"/>
                <w:sz w:val="12"/>
                <w:szCs w:val="12"/>
              </w:rPr>
              <w:t>5.00</w:t>
            </w:r>
            <w:r w:rsidRPr="00C57DF0">
              <w:rPr>
                <w:rFonts w:ascii="Arial" w:eastAsia="Arial" w:hAnsi="Arial" w:cs="Arial"/>
                <w:color w:val="000000"/>
                <w:sz w:val="12"/>
                <w:szCs w:val="12"/>
                <w:vertAlign w:val="superscript"/>
              </w:rPr>
              <w:t>(2)</w:t>
            </w:r>
          </w:p>
        </w:tc>
        <w:tc>
          <w:tcPr>
            <w:tcW w:w="819" w:type="pct"/>
            <w:shd w:val="clear" w:color="auto" w:fill="DCEBF4"/>
            <w:tcMar>
              <w:top w:w="0" w:type="dxa"/>
              <w:left w:w="119" w:type="dxa"/>
              <w:bottom w:w="0" w:type="dxa"/>
              <w:right w:w="119" w:type="dxa"/>
            </w:tcMar>
            <w:hideMark/>
          </w:tcPr>
          <w:p w14:paraId="3D974D79" w14:textId="113B2BE2" w:rsidR="002C6D14" w:rsidRPr="00C57DF0" w:rsidRDefault="00C24AAF" w:rsidP="00262AA1">
            <w:pPr>
              <w:spacing w:line="140" w:lineRule="atLeast"/>
              <w:ind w:left="270"/>
              <w:jc w:val="center"/>
              <w:rPr>
                <w:color w:val="000000"/>
                <w:sz w:val="12"/>
                <w:szCs w:val="12"/>
              </w:rPr>
            </w:pPr>
            <w:r w:rsidRPr="00C57DF0">
              <w:rPr>
                <w:rFonts w:ascii="Arial" w:eastAsia="Arial" w:hAnsi="Arial" w:cs="Arial"/>
                <w:color w:val="000000"/>
                <w:sz w:val="12"/>
                <w:szCs w:val="12"/>
              </w:rPr>
              <w:t>$98</w:t>
            </w:r>
            <w:r w:rsidR="007032A9">
              <w:rPr>
                <w:rFonts w:ascii="Arial" w:eastAsia="Arial" w:hAnsi="Arial" w:cs="Arial"/>
                <w:color w:val="000000"/>
                <w:sz w:val="12"/>
                <w:szCs w:val="12"/>
              </w:rPr>
              <w:t>5</w:t>
            </w:r>
            <w:r w:rsidR="008B446E" w:rsidRPr="00C57DF0">
              <w:rPr>
                <w:rFonts w:ascii="Arial" w:eastAsia="Arial" w:hAnsi="Arial" w:cs="Arial"/>
                <w:color w:val="000000"/>
                <w:sz w:val="12"/>
                <w:szCs w:val="12"/>
              </w:rPr>
              <w:t>.00</w:t>
            </w:r>
          </w:p>
        </w:tc>
        <w:tc>
          <w:tcPr>
            <w:tcW w:w="15" w:type="pct"/>
            <w:tcMar>
              <w:top w:w="15" w:type="dxa"/>
              <w:left w:w="15" w:type="dxa"/>
              <w:bottom w:w="15" w:type="dxa"/>
              <w:right w:w="15" w:type="dxa"/>
            </w:tcMar>
            <w:hideMark/>
          </w:tcPr>
          <w:p w14:paraId="7083FBD6" w14:textId="77777777" w:rsidR="002C6D14" w:rsidRPr="00C57DF0" w:rsidRDefault="002C6D14" w:rsidP="00262AA1">
            <w:pPr>
              <w:ind w:left="270"/>
              <w:rPr>
                <w:color w:val="000000"/>
                <w:sz w:val="12"/>
                <w:szCs w:val="12"/>
              </w:rPr>
            </w:pPr>
          </w:p>
        </w:tc>
      </w:tr>
      <w:tr w:rsidR="00BD53EC" w:rsidRPr="00C57DF0" w14:paraId="6F0FB4E9" w14:textId="77777777" w:rsidTr="006B184B">
        <w:trPr>
          <w:cantSplit/>
          <w:trHeight w:val="142"/>
          <w:tblCellSpacing w:w="0" w:type="dxa"/>
        </w:trPr>
        <w:tc>
          <w:tcPr>
            <w:tcW w:w="1042" w:type="pct"/>
            <w:shd w:val="clear" w:color="auto" w:fill="FFFFFF"/>
            <w:tcMar>
              <w:top w:w="0" w:type="dxa"/>
              <w:left w:w="119" w:type="dxa"/>
              <w:bottom w:w="0" w:type="dxa"/>
              <w:right w:w="119" w:type="dxa"/>
            </w:tcMar>
            <w:hideMark/>
          </w:tcPr>
          <w:p w14:paraId="37393EC5" w14:textId="77777777" w:rsidR="002C6D14" w:rsidRPr="00C57DF0" w:rsidRDefault="00C24AAF" w:rsidP="00262AA1">
            <w:pPr>
              <w:pBdr>
                <w:left w:val="none" w:sz="0" w:space="31" w:color="auto"/>
              </w:pBdr>
              <w:spacing w:line="140" w:lineRule="atLeast"/>
              <w:ind w:left="270" w:hanging="396"/>
              <w:rPr>
                <w:color w:val="000000"/>
                <w:sz w:val="12"/>
                <w:szCs w:val="12"/>
              </w:rPr>
            </w:pPr>
            <w:r w:rsidRPr="00C57DF0">
              <w:rPr>
                <w:rFonts w:ascii="Arial" w:eastAsia="Arial" w:hAnsi="Arial" w:cs="Arial"/>
                <w:b/>
                <w:bCs/>
                <w:color w:val="296DC1"/>
                <w:sz w:val="12"/>
                <w:szCs w:val="12"/>
              </w:rPr>
              <w:t>Total</w:t>
            </w:r>
          </w:p>
        </w:tc>
        <w:tc>
          <w:tcPr>
            <w:tcW w:w="1874" w:type="pct"/>
            <w:shd w:val="clear" w:color="auto" w:fill="FFFFFF"/>
            <w:tcMar>
              <w:top w:w="0" w:type="dxa"/>
              <w:left w:w="119" w:type="dxa"/>
              <w:bottom w:w="0" w:type="dxa"/>
              <w:right w:w="119" w:type="dxa"/>
            </w:tcMar>
            <w:hideMark/>
          </w:tcPr>
          <w:p w14:paraId="2A29D6A5" w14:textId="6C90EAD8" w:rsidR="002C6D14" w:rsidRPr="00C57DF0" w:rsidRDefault="00C24AAF" w:rsidP="00262AA1">
            <w:pPr>
              <w:spacing w:line="140" w:lineRule="atLeast"/>
              <w:ind w:left="270"/>
              <w:jc w:val="center"/>
              <w:rPr>
                <w:color w:val="000000"/>
                <w:sz w:val="12"/>
                <w:szCs w:val="12"/>
              </w:rPr>
            </w:pPr>
            <w:r w:rsidRPr="00C57DF0">
              <w:rPr>
                <w:rFonts w:ascii="Arial" w:eastAsia="Arial" w:hAnsi="Arial" w:cs="Arial"/>
                <w:color w:val="000000"/>
                <w:sz w:val="12"/>
                <w:szCs w:val="12"/>
              </w:rPr>
              <w:t>$</w:t>
            </w:r>
            <w:r w:rsidR="009A5D89">
              <w:rPr>
                <w:rFonts w:ascii="Arial" w:eastAsia="Arial" w:hAnsi="Arial" w:cs="Arial"/>
                <w:color w:val="000000"/>
                <w:sz w:val="12"/>
                <w:szCs w:val="12"/>
              </w:rPr>
              <w:t>3,9</w:t>
            </w:r>
            <w:r w:rsidR="00B17586">
              <w:rPr>
                <w:rFonts w:ascii="Arial" w:eastAsia="Arial" w:hAnsi="Arial" w:cs="Arial"/>
                <w:color w:val="000000"/>
                <w:sz w:val="12"/>
                <w:szCs w:val="12"/>
              </w:rPr>
              <w:t>8</w:t>
            </w:r>
            <w:r w:rsidR="009A5D89">
              <w:rPr>
                <w:rFonts w:ascii="Arial" w:eastAsia="Arial" w:hAnsi="Arial" w:cs="Arial"/>
                <w:color w:val="000000"/>
                <w:sz w:val="12"/>
                <w:szCs w:val="12"/>
              </w:rPr>
              <w:t>9,000.00</w:t>
            </w:r>
          </w:p>
        </w:tc>
        <w:tc>
          <w:tcPr>
            <w:tcW w:w="1249" w:type="pct"/>
            <w:shd w:val="clear" w:color="auto" w:fill="FFFFFF"/>
            <w:tcMar>
              <w:top w:w="0" w:type="dxa"/>
              <w:left w:w="119" w:type="dxa"/>
              <w:bottom w:w="0" w:type="dxa"/>
              <w:right w:w="119" w:type="dxa"/>
            </w:tcMar>
            <w:hideMark/>
          </w:tcPr>
          <w:p w14:paraId="221C51EF" w14:textId="7E76024A" w:rsidR="002C6D14" w:rsidRPr="00C57DF0" w:rsidRDefault="00C24AAF" w:rsidP="00262AA1">
            <w:pPr>
              <w:spacing w:line="140" w:lineRule="atLeast"/>
              <w:ind w:left="270"/>
              <w:jc w:val="center"/>
              <w:rPr>
                <w:color w:val="000000"/>
                <w:sz w:val="12"/>
                <w:szCs w:val="12"/>
              </w:rPr>
            </w:pPr>
            <w:r w:rsidRPr="00C57DF0">
              <w:rPr>
                <w:rFonts w:ascii="Arial" w:eastAsia="Arial" w:hAnsi="Arial" w:cs="Arial"/>
                <w:color w:val="000000"/>
                <w:sz w:val="12"/>
                <w:szCs w:val="12"/>
              </w:rPr>
              <w:t>$</w:t>
            </w:r>
            <w:r w:rsidR="009A5D89">
              <w:rPr>
                <w:rFonts w:ascii="Arial" w:eastAsia="Arial" w:hAnsi="Arial" w:cs="Arial"/>
                <w:color w:val="000000"/>
                <w:sz w:val="12"/>
                <w:szCs w:val="12"/>
              </w:rPr>
              <w:t>5</w:t>
            </w:r>
            <w:r w:rsidR="00D00F78">
              <w:rPr>
                <w:rFonts w:ascii="Arial" w:eastAsia="Arial" w:hAnsi="Arial" w:cs="Arial"/>
                <w:color w:val="000000"/>
                <w:sz w:val="12"/>
                <w:szCs w:val="12"/>
              </w:rPr>
              <w:t>9</w:t>
            </w:r>
            <w:r w:rsidR="009A5D89">
              <w:rPr>
                <w:rFonts w:ascii="Arial" w:eastAsia="Arial" w:hAnsi="Arial" w:cs="Arial"/>
                <w:color w:val="000000"/>
                <w:sz w:val="12"/>
                <w:szCs w:val="12"/>
              </w:rPr>
              <w:t>,</w:t>
            </w:r>
            <w:r w:rsidR="00D00F78">
              <w:rPr>
                <w:rFonts w:ascii="Arial" w:eastAsia="Arial" w:hAnsi="Arial" w:cs="Arial"/>
                <w:color w:val="000000"/>
                <w:sz w:val="12"/>
                <w:szCs w:val="12"/>
              </w:rPr>
              <w:t>835</w:t>
            </w:r>
            <w:r w:rsidR="009A5D89">
              <w:rPr>
                <w:rFonts w:ascii="Arial" w:eastAsia="Arial" w:hAnsi="Arial" w:cs="Arial"/>
                <w:color w:val="000000"/>
                <w:sz w:val="12"/>
                <w:szCs w:val="12"/>
              </w:rPr>
              <w:t>.00</w:t>
            </w:r>
          </w:p>
        </w:tc>
        <w:tc>
          <w:tcPr>
            <w:tcW w:w="819" w:type="pct"/>
            <w:shd w:val="clear" w:color="auto" w:fill="FFFFFF"/>
            <w:tcMar>
              <w:top w:w="0" w:type="dxa"/>
              <w:left w:w="119" w:type="dxa"/>
              <w:bottom w:w="0" w:type="dxa"/>
              <w:right w:w="119" w:type="dxa"/>
            </w:tcMar>
            <w:hideMark/>
          </w:tcPr>
          <w:p w14:paraId="337FF712" w14:textId="0021FA9E" w:rsidR="002C6D14" w:rsidRPr="00C57DF0" w:rsidRDefault="00C24AAF" w:rsidP="00262AA1">
            <w:pPr>
              <w:spacing w:line="140" w:lineRule="atLeast"/>
              <w:ind w:left="270"/>
              <w:jc w:val="center"/>
              <w:rPr>
                <w:color w:val="000000"/>
                <w:sz w:val="12"/>
                <w:szCs w:val="12"/>
              </w:rPr>
            </w:pPr>
            <w:r w:rsidRPr="00C57DF0">
              <w:rPr>
                <w:rFonts w:ascii="Arial" w:eastAsia="Arial" w:hAnsi="Arial" w:cs="Arial"/>
                <w:color w:val="000000"/>
                <w:sz w:val="12"/>
                <w:szCs w:val="12"/>
              </w:rPr>
              <w:t>$</w:t>
            </w:r>
            <w:r w:rsidR="009A5D89">
              <w:rPr>
                <w:rFonts w:ascii="Arial" w:eastAsia="Arial" w:hAnsi="Arial" w:cs="Arial"/>
                <w:color w:val="000000"/>
                <w:sz w:val="12"/>
                <w:szCs w:val="12"/>
              </w:rPr>
              <w:t>3,</w:t>
            </w:r>
            <w:r w:rsidR="00B17586">
              <w:rPr>
                <w:rFonts w:ascii="Arial" w:eastAsia="Arial" w:hAnsi="Arial" w:cs="Arial"/>
                <w:color w:val="000000"/>
                <w:sz w:val="12"/>
                <w:szCs w:val="12"/>
              </w:rPr>
              <w:t>929,165</w:t>
            </w:r>
            <w:r w:rsidR="009A5D89">
              <w:rPr>
                <w:rFonts w:ascii="Arial" w:eastAsia="Arial" w:hAnsi="Arial" w:cs="Arial"/>
                <w:color w:val="000000"/>
                <w:sz w:val="12"/>
                <w:szCs w:val="12"/>
              </w:rPr>
              <w:t>.00</w:t>
            </w:r>
          </w:p>
        </w:tc>
        <w:tc>
          <w:tcPr>
            <w:tcW w:w="15" w:type="pct"/>
            <w:tcMar>
              <w:top w:w="15" w:type="dxa"/>
              <w:left w:w="15" w:type="dxa"/>
              <w:bottom w:w="15" w:type="dxa"/>
              <w:right w:w="15" w:type="dxa"/>
            </w:tcMar>
            <w:hideMark/>
          </w:tcPr>
          <w:p w14:paraId="4F363EB0" w14:textId="77777777" w:rsidR="002C6D14" w:rsidRPr="00C57DF0" w:rsidRDefault="002C6D14" w:rsidP="00262AA1">
            <w:pPr>
              <w:ind w:left="270"/>
              <w:rPr>
                <w:color w:val="000000"/>
                <w:sz w:val="12"/>
                <w:szCs w:val="12"/>
              </w:rPr>
            </w:pPr>
          </w:p>
        </w:tc>
      </w:tr>
    </w:tbl>
    <w:p w14:paraId="489C39B8" w14:textId="0273D23C" w:rsidR="002C6D14" w:rsidRPr="00C57DF0" w:rsidRDefault="00C24AAF" w:rsidP="00262AA1">
      <w:pPr>
        <w:pBdr>
          <w:left w:val="none" w:sz="0" w:space="9" w:color="auto"/>
        </w:pBdr>
        <w:spacing w:line="140" w:lineRule="atLeast"/>
        <w:ind w:left="270" w:right="54"/>
        <w:rPr>
          <w:rFonts w:ascii="Arial" w:eastAsia="Arial" w:hAnsi="Arial" w:cs="Arial"/>
          <w:i/>
          <w:iCs/>
          <w:sz w:val="12"/>
          <w:szCs w:val="12"/>
        </w:rPr>
      </w:pPr>
      <w:r w:rsidRPr="00C57DF0">
        <w:rPr>
          <w:rFonts w:ascii="Arial" w:eastAsia="Arial" w:hAnsi="Arial" w:cs="Arial"/>
          <w:i/>
          <w:iCs/>
          <w:sz w:val="12"/>
          <w:szCs w:val="12"/>
        </w:rPr>
        <w:t>(1)</w:t>
      </w:r>
      <w:r w:rsidR="00131568" w:rsidRPr="00C57DF0">
        <w:rPr>
          <w:rFonts w:ascii="Arial" w:eastAsia="Arial" w:hAnsi="Arial" w:cs="Arial"/>
          <w:i/>
          <w:iCs/>
          <w:sz w:val="12"/>
          <w:szCs w:val="12"/>
        </w:rPr>
        <w:t xml:space="preserve"> </w:t>
      </w:r>
      <w:r w:rsidR="00DE7680" w:rsidRPr="00C57DF0">
        <w:rPr>
          <w:rFonts w:ascii="Arial" w:eastAsia="Arial" w:hAnsi="Arial" w:cs="Arial"/>
          <w:i/>
          <w:iCs/>
          <w:sz w:val="12"/>
          <w:szCs w:val="12"/>
        </w:rPr>
        <w:t>Morgan Stanley Wealth Management and its financial advisors will collectively receive from the agent, BofAS, a fixed sales commission of $</w:t>
      </w:r>
      <w:r w:rsidR="006704DB">
        <w:rPr>
          <w:rFonts w:ascii="Arial" w:eastAsia="Arial" w:hAnsi="Arial" w:cs="Arial"/>
          <w:i/>
          <w:iCs/>
          <w:sz w:val="12"/>
          <w:szCs w:val="12"/>
        </w:rPr>
        <w:t>10</w:t>
      </w:r>
      <w:r w:rsidR="007032A9">
        <w:rPr>
          <w:rFonts w:ascii="Arial" w:eastAsia="Arial" w:hAnsi="Arial" w:cs="Arial"/>
          <w:i/>
          <w:iCs/>
          <w:sz w:val="12"/>
          <w:szCs w:val="12"/>
        </w:rPr>
        <w:t>.00</w:t>
      </w:r>
      <w:r w:rsidR="00DE7680" w:rsidRPr="00C57DF0">
        <w:rPr>
          <w:rFonts w:ascii="Arial" w:eastAsia="Arial" w:hAnsi="Arial" w:cs="Arial"/>
          <w:i/>
          <w:iCs/>
          <w:sz w:val="12"/>
          <w:szCs w:val="12"/>
        </w:rPr>
        <w:t xml:space="preserve"> for each security they sell. See “Supplement </w:t>
      </w:r>
      <w:r w:rsidR="00262AA1" w:rsidRPr="00C57DF0">
        <w:rPr>
          <w:rFonts w:ascii="Arial" w:eastAsia="Arial" w:hAnsi="Arial" w:cs="Arial"/>
          <w:i/>
          <w:iCs/>
          <w:sz w:val="12"/>
          <w:szCs w:val="12"/>
        </w:rPr>
        <w:t>to the p</w:t>
      </w:r>
      <w:r w:rsidR="00DE7680" w:rsidRPr="00C57DF0">
        <w:rPr>
          <w:rFonts w:ascii="Arial" w:eastAsia="Arial" w:hAnsi="Arial" w:cs="Arial"/>
          <w:i/>
          <w:iCs/>
          <w:sz w:val="12"/>
          <w:szCs w:val="12"/>
        </w:rPr>
        <w:t xml:space="preserve">lan of </w:t>
      </w:r>
      <w:r w:rsidR="00262AA1" w:rsidRPr="00C57DF0">
        <w:rPr>
          <w:rFonts w:ascii="Arial" w:eastAsia="Arial" w:hAnsi="Arial" w:cs="Arial"/>
          <w:i/>
          <w:iCs/>
          <w:sz w:val="12"/>
          <w:szCs w:val="12"/>
        </w:rPr>
        <w:t>d</w:t>
      </w:r>
      <w:r w:rsidR="00DE7680" w:rsidRPr="00C57DF0">
        <w:rPr>
          <w:rFonts w:ascii="Arial" w:eastAsia="Arial" w:hAnsi="Arial" w:cs="Arial"/>
          <w:i/>
          <w:iCs/>
          <w:sz w:val="12"/>
          <w:szCs w:val="12"/>
        </w:rPr>
        <w:t>istribution</w:t>
      </w:r>
      <w:r w:rsidR="00262AA1" w:rsidRPr="00C57DF0">
        <w:rPr>
          <w:rFonts w:ascii="Arial" w:eastAsia="Arial" w:hAnsi="Arial" w:cs="Arial"/>
          <w:i/>
          <w:iCs/>
          <w:sz w:val="12"/>
          <w:szCs w:val="12"/>
        </w:rPr>
        <w:t>; role of BofAS and conflicts of interest</w:t>
      </w:r>
      <w:r w:rsidR="00DE7680" w:rsidRPr="00C57DF0">
        <w:rPr>
          <w:rFonts w:ascii="Arial" w:eastAsia="Arial" w:hAnsi="Arial" w:cs="Arial"/>
          <w:i/>
          <w:iCs/>
          <w:sz w:val="12"/>
          <w:szCs w:val="12"/>
        </w:rPr>
        <w:t xml:space="preserve">” in this </w:t>
      </w:r>
      <w:r w:rsidR="00262AA1" w:rsidRPr="00C57DF0">
        <w:rPr>
          <w:rFonts w:ascii="Arial" w:eastAsia="Arial" w:hAnsi="Arial" w:cs="Arial"/>
          <w:i/>
          <w:iCs/>
          <w:sz w:val="12"/>
          <w:szCs w:val="12"/>
        </w:rPr>
        <w:t>pricing supplement</w:t>
      </w:r>
      <w:r w:rsidR="00DE7680" w:rsidRPr="00C57DF0">
        <w:rPr>
          <w:rFonts w:ascii="Arial" w:eastAsia="Arial" w:hAnsi="Arial" w:cs="Arial"/>
          <w:i/>
          <w:iCs/>
          <w:sz w:val="12"/>
          <w:szCs w:val="12"/>
        </w:rPr>
        <w:t>.</w:t>
      </w:r>
    </w:p>
    <w:p w14:paraId="2C5F110D" w14:textId="2DF1A2CF" w:rsidR="002C6D14" w:rsidRPr="00C57DF0" w:rsidRDefault="00C24AAF" w:rsidP="00262AA1">
      <w:pPr>
        <w:pBdr>
          <w:left w:val="none" w:sz="0" w:space="9" w:color="auto"/>
        </w:pBdr>
        <w:spacing w:line="140" w:lineRule="atLeast"/>
        <w:ind w:left="270" w:right="54"/>
        <w:rPr>
          <w:rFonts w:ascii="Arial" w:eastAsia="Arial" w:hAnsi="Arial" w:cs="Arial"/>
          <w:i/>
          <w:iCs/>
          <w:sz w:val="12"/>
          <w:szCs w:val="12"/>
        </w:rPr>
      </w:pPr>
      <w:r w:rsidRPr="00C57DF0">
        <w:rPr>
          <w:rFonts w:ascii="Arial" w:eastAsia="Arial" w:hAnsi="Arial" w:cs="Arial"/>
          <w:i/>
          <w:iCs/>
          <w:sz w:val="12"/>
          <w:szCs w:val="12"/>
        </w:rPr>
        <w:t>(2)</w:t>
      </w:r>
      <w:r w:rsidR="00131568" w:rsidRPr="00C57DF0">
        <w:rPr>
          <w:rFonts w:ascii="Arial" w:eastAsia="Arial" w:hAnsi="Arial" w:cs="Arial"/>
          <w:i/>
          <w:iCs/>
          <w:sz w:val="12"/>
          <w:szCs w:val="12"/>
        </w:rPr>
        <w:t xml:space="preserve"> </w:t>
      </w:r>
      <w:r w:rsidRPr="00C57DF0">
        <w:rPr>
          <w:rFonts w:ascii="Arial" w:eastAsia="Arial" w:hAnsi="Arial" w:cs="Arial"/>
          <w:i/>
          <w:iCs/>
          <w:sz w:val="12"/>
          <w:szCs w:val="12"/>
        </w:rPr>
        <w:t>Reflects a structuring fee payable to Morgan Stanley Wealth Management by the agent or its affiliates of $</w:t>
      </w:r>
      <w:r w:rsidR="006704DB">
        <w:rPr>
          <w:rFonts w:ascii="Arial" w:eastAsia="Arial" w:hAnsi="Arial" w:cs="Arial"/>
          <w:i/>
          <w:iCs/>
          <w:sz w:val="12"/>
          <w:szCs w:val="12"/>
        </w:rPr>
        <w:t>5</w:t>
      </w:r>
      <w:r w:rsidR="007032A9">
        <w:rPr>
          <w:rFonts w:ascii="Arial" w:eastAsia="Arial" w:hAnsi="Arial" w:cs="Arial"/>
          <w:i/>
          <w:iCs/>
          <w:sz w:val="12"/>
          <w:szCs w:val="12"/>
        </w:rPr>
        <w:t>.00</w:t>
      </w:r>
      <w:r w:rsidRPr="00C57DF0">
        <w:rPr>
          <w:rFonts w:ascii="Arial" w:eastAsia="Arial" w:hAnsi="Arial" w:cs="Arial"/>
          <w:i/>
          <w:iCs/>
          <w:sz w:val="12"/>
          <w:szCs w:val="12"/>
        </w:rPr>
        <w:t xml:space="preserve"> for each security.</w:t>
      </w:r>
    </w:p>
    <w:p w14:paraId="561DE4F5" w14:textId="422EC88C" w:rsidR="00DE7680" w:rsidRPr="00C57DF0" w:rsidRDefault="00C24AAF" w:rsidP="00262AA1">
      <w:pPr>
        <w:ind w:left="270" w:right="54"/>
        <w:rPr>
          <w:rFonts w:ascii="Arial" w:eastAsia="Arial" w:hAnsi="Arial" w:cs="Arial"/>
          <w:b/>
          <w:bCs/>
          <w:sz w:val="12"/>
          <w:szCs w:val="12"/>
        </w:rPr>
      </w:pPr>
      <w:r w:rsidRPr="00C57DF0">
        <w:rPr>
          <w:rFonts w:ascii="Arial" w:eastAsia="Arial" w:hAnsi="Arial" w:cs="Arial"/>
          <w:b/>
          <w:bCs/>
          <w:sz w:val="12"/>
          <w:szCs w:val="12"/>
        </w:rPr>
        <w:t xml:space="preserve">There are important differences between the securities and a conventional debt security. Potential purchasers of the securities should consider the information in “Risk Factors” beginning on page </w:t>
      </w:r>
      <w:r w:rsidR="0044592A" w:rsidRPr="00C57DF0">
        <w:rPr>
          <w:rFonts w:ascii="Arial" w:eastAsia="Arial" w:hAnsi="Arial" w:cs="Arial"/>
          <w:b/>
          <w:bCs/>
          <w:sz w:val="12"/>
          <w:szCs w:val="12"/>
        </w:rPr>
        <w:t>9</w:t>
      </w:r>
      <w:r w:rsidRPr="00C57DF0">
        <w:rPr>
          <w:rFonts w:ascii="Arial" w:eastAsia="Arial" w:hAnsi="Arial" w:cs="Arial"/>
          <w:b/>
          <w:bCs/>
          <w:sz w:val="12"/>
          <w:szCs w:val="12"/>
        </w:rPr>
        <w:t xml:space="preserve"> of this pricing supplement, page PS-</w:t>
      </w:r>
      <w:r w:rsidR="00E03692">
        <w:rPr>
          <w:rFonts w:ascii="Arial" w:eastAsia="Arial" w:hAnsi="Arial" w:cs="Arial"/>
          <w:b/>
          <w:bCs/>
          <w:sz w:val="12"/>
          <w:szCs w:val="12"/>
        </w:rPr>
        <w:t>3</w:t>
      </w:r>
      <w:r w:rsidRPr="00C57DF0">
        <w:rPr>
          <w:rFonts w:ascii="Arial" w:eastAsia="Arial" w:hAnsi="Arial" w:cs="Arial"/>
          <w:b/>
          <w:bCs/>
          <w:sz w:val="12"/>
          <w:szCs w:val="12"/>
        </w:rPr>
        <w:t xml:space="preserve"> of the accompanying product supplement, page S-</w:t>
      </w:r>
      <w:r w:rsidR="00E03692">
        <w:rPr>
          <w:rFonts w:ascii="Arial" w:eastAsia="Arial" w:hAnsi="Arial" w:cs="Arial"/>
          <w:b/>
          <w:bCs/>
          <w:sz w:val="12"/>
          <w:szCs w:val="12"/>
        </w:rPr>
        <w:t>7</w:t>
      </w:r>
      <w:r w:rsidRPr="00C57DF0">
        <w:rPr>
          <w:rFonts w:ascii="Arial" w:eastAsia="Arial" w:hAnsi="Arial" w:cs="Arial"/>
          <w:b/>
          <w:bCs/>
          <w:sz w:val="12"/>
          <w:szCs w:val="12"/>
        </w:rPr>
        <w:t xml:space="preserve"> of the accompanying prospectus supplement, and page 7 of the accompanying prospectus.</w:t>
      </w:r>
    </w:p>
    <w:p w14:paraId="53E55E8C" w14:textId="77777777" w:rsidR="002C6D14" w:rsidRPr="00C57DF0" w:rsidRDefault="00C24AAF" w:rsidP="00262AA1">
      <w:pPr>
        <w:ind w:left="270" w:right="54"/>
        <w:rPr>
          <w:sz w:val="12"/>
          <w:szCs w:val="12"/>
        </w:rPr>
      </w:pPr>
      <w:r w:rsidRPr="00C57DF0">
        <w:rPr>
          <w:rFonts w:ascii="Arial" w:eastAsia="Arial" w:hAnsi="Arial" w:cs="Arial"/>
          <w:b/>
          <w:bCs/>
          <w:sz w:val="12"/>
          <w:szCs w:val="12"/>
        </w:rPr>
        <w:t>None of the Securities and Exchange Commission (the “SEC”), any state securities commission, or any other regulatory body has approved or disapproved of these securities or determined if this pricing supplement and the accompanying product supplement, prospectus supplement and prospectus is truthful or complete. Any representation to the contrary is a criminal offense.</w:t>
      </w:r>
    </w:p>
    <w:p w14:paraId="21690F02" w14:textId="77777777" w:rsidR="002C6D14" w:rsidRPr="00C57DF0" w:rsidRDefault="00C24AAF" w:rsidP="00262AA1">
      <w:pPr>
        <w:ind w:left="270" w:right="54"/>
        <w:rPr>
          <w:sz w:val="12"/>
          <w:szCs w:val="12"/>
        </w:rPr>
      </w:pPr>
      <w:r w:rsidRPr="00C57DF0">
        <w:rPr>
          <w:rFonts w:ascii="Arial" w:eastAsia="Arial" w:hAnsi="Arial" w:cs="Arial"/>
          <w:b/>
          <w:bCs/>
          <w:sz w:val="12"/>
          <w:szCs w:val="12"/>
        </w:rPr>
        <w:t>The securities are not deposits or savings accounts and are not insured by the Federal Deposit Insurance Corporation or any other governmental agency or instrumentality, nor are they obligations of, or guaranteed by, a bank.</w:t>
      </w:r>
    </w:p>
    <w:p w14:paraId="567173A7" w14:textId="7E431693" w:rsidR="002C6D14" w:rsidRPr="00C57DF0" w:rsidRDefault="00C24AAF" w:rsidP="00262AA1">
      <w:pPr>
        <w:ind w:left="270" w:right="54"/>
        <w:rPr>
          <w:sz w:val="12"/>
          <w:szCs w:val="12"/>
        </w:rPr>
      </w:pPr>
      <w:r w:rsidRPr="00C57DF0">
        <w:rPr>
          <w:rFonts w:ascii="Arial" w:eastAsia="Arial" w:hAnsi="Arial" w:cs="Arial"/>
          <w:b/>
          <w:bCs/>
          <w:sz w:val="12"/>
          <w:szCs w:val="12"/>
        </w:rPr>
        <w:t>Before you invest, you should read this pricing supplement and the accompanying product supplement, prospectus supplement and prospectus for information about us, BAC and this offering</w:t>
      </w:r>
      <w:r w:rsidR="003F76B8" w:rsidRPr="00C57DF0">
        <w:rPr>
          <w:rFonts w:ascii="Arial" w:eastAsia="Arial" w:hAnsi="Arial" w:cs="Arial"/>
          <w:b/>
          <w:bCs/>
          <w:sz w:val="12"/>
          <w:szCs w:val="12"/>
        </w:rPr>
        <w:t xml:space="preserve">, each of which can be accessed via the hyperlinks below.  Please also see “Additional Terms of the Securities” and “Additional Information About the Securities” </w:t>
      </w:r>
      <w:r w:rsidR="00AA573E" w:rsidRPr="00C57DF0">
        <w:rPr>
          <w:rFonts w:ascii="Arial" w:eastAsia="Arial" w:hAnsi="Arial" w:cs="Arial"/>
          <w:b/>
          <w:bCs/>
          <w:sz w:val="12"/>
          <w:szCs w:val="12"/>
        </w:rPr>
        <w:t>in</w:t>
      </w:r>
      <w:r w:rsidR="003F76B8" w:rsidRPr="00C57DF0">
        <w:rPr>
          <w:rFonts w:ascii="Arial" w:eastAsia="Arial" w:hAnsi="Arial" w:cs="Arial"/>
          <w:b/>
          <w:bCs/>
          <w:sz w:val="12"/>
          <w:szCs w:val="12"/>
        </w:rPr>
        <w:t xml:space="preserve"> this pricing supplement.</w:t>
      </w:r>
    </w:p>
    <w:p w14:paraId="596EA2C9" w14:textId="77777777" w:rsidR="002C6D14" w:rsidRPr="00C57DF0" w:rsidRDefault="00C24AAF" w:rsidP="00262AA1">
      <w:pPr>
        <w:ind w:left="270" w:right="792"/>
        <w:rPr>
          <w:sz w:val="12"/>
          <w:szCs w:val="12"/>
        </w:rPr>
      </w:pPr>
      <w:r w:rsidRPr="00C57DF0">
        <w:rPr>
          <w:rFonts w:ascii="Arial" w:eastAsia="Arial" w:hAnsi="Arial" w:cs="Arial"/>
          <w:b/>
          <w:bCs/>
          <w:sz w:val="12"/>
          <w:szCs w:val="12"/>
        </w:rPr>
        <w:t>Unless otherwise indicated or unless the context requires otherwise, all references in this document to “we,” “us,” “our,” or similar references are to BofA Finance, and not to BAC.</w:t>
      </w:r>
      <w:r w:rsidR="00D459B8" w:rsidRPr="00C57DF0">
        <w:rPr>
          <w:rFonts w:ascii="Arial" w:eastAsia="Arial" w:hAnsi="Arial" w:cs="Arial"/>
          <w:b/>
          <w:bCs/>
          <w:sz w:val="12"/>
          <w:szCs w:val="12"/>
        </w:rPr>
        <w:t xml:space="preserve"> </w:t>
      </w:r>
    </w:p>
    <w:p w14:paraId="7081A457" w14:textId="0333EE03" w:rsidR="00DF73DB" w:rsidRPr="00C57DF0" w:rsidRDefault="00E03692" w:rsidP="00DF73DB">
      <w:pPr>
        <w:ind w:left="360"/>
        <w:jc w:val="center"/>
        <w:rPr>
          <w:rFonts w:ascii="Arial" w:hAnsi="Arial" w:cs="Arial"/>
          <w:sz w:val="12"/>
          <w:szCs w:val="12"/>
        </w:rPr>
      </w:pPr>
      <w:hyperlink r:id="rId8" w:history="1">
        <w:r w:rsidRPr="00D13216">
          <w:rPr>
            <w:rStyle w:val="Hyperlink"/>
            <w:rFonts w:ascii="Arial" w:hAnsi="Arial" w:cs="Arial"/>
            <w:b/>
            <w:bCs/>
            <w:sz w:val="13"/>
            <w:szCs w:val="13"/>
          </w:rPr>
          <w:t>Series A MTN prospectus supplement dated December 8, 2025 and prospectus dated December 8, 2025</w:t>
        </w:r>
      </w:hyperlink>
      <w:r w:rsidRPr="00146A7A">
        <w:rPr>
          <w:rFonts w:ascii="Arial" w:hAnsi="Arial" w:cs="Arial"/>
          <w:sz w:val="13"/>
          <w:szCs w:val="13"/>
        </w:rPr>
        <w:t xml:space="preserve"> </w:t>
      </w:r>
      <w:r w:rsidRPr="00146A7A">
        <w:rPr>
          <w:rFonts w:ascii="Arial" w:eastAsia="Arial" w:hAnsi="Arial" w:cs="Arial"/>
          <w:b/>
          <w:bCs/>
          <w:sz w:val="13"/>
          <w:szCs w:val="13"/>
        </w:rPr>
        <w:t>and</w:t>
      </w:r>
      <w:r w:rsidRPr="00146A7A">
        <w:rPr>
          <w:rFonts w:ascii="Arial" w:eastAsia="Arial" w:hAnsi="Arial" w:cs="Arial"/>
          <w:b/>
          <w:bCs/>
          <w:color w:val="296DC1"/>
          <w:sz w:val="13"/>
          <w:szCs w:val="13"/>
          <w:u w:val="single" w:color="296DC1"/>
        </w:rPr>
        <w:t xml:space="preserve"> </w:t>
      </w:r>
      <w:hyperlink r:id="rId9" w:history="1">
        <w:r w:rsidRPr="00146A7A">
          <w:rPr>
            <w:rStyle w:val="Hyperlink"/>
            <w:rFonts w:ascii="Arial" w:eastAsia="Arial" w:hAnsi="Arial" w:cs="Arial"/>
            <w:b/>
            <w:bCs/>
            <w:sz w:val="13"/>
            <w:szCs w:val="13"/>
          </w:rPr>
          <w:t xml:space="preserve">Product Supplement EQUITY-1 dated December </w:t>
        </w:r>
        <w:r>
          <w:rPr>
            <w:rStyle w:val="Hyperlink"/>
            <w:rFonts w:ascii="Arial" w:eastAsia="Arial" w:hAnsi="Arial" w:cs="Arial"/>
            <w:b/>
            <w:bCs/>
            <w:sz w:val="13"/>
            <w:szCs w:val="13"/>
          </w:rPr>
          <w:t>8</w:t>
        </w:r>
        <w:r w:rsidRPr="00146A7A">
          <w:rPr>
            <w:rStyle w:val="Hyperlink"/>
            <w:rFonts w:ascii="Arial" w:eastAsia="Arial" w:hAnsi="Arial" w:cs="Arial"/>
            <w:b/>
            <w:bCs/>
            <w:sz w:val="13"/>
            <w:szCs w:val="13"/>
          </w:rPr>
          <w:t>, 202</w:t>
        </w:r>
        <w:r>
          <w:rPr>
            <w:rStyle w:val="Hyperlink"/>
            <w:rFonts w:ascii="Arial" w:eastAsia="Arial" w:hAnsi="Arial" w:cs="Arial"/>
            <w:b/>
            <w:bCs/>
            <w:sz w:val="13"/>
            <w:szCs w:val="13"/>
          </w:rPr>
          <w:t>5</w:t>
        </w:r>
        <w:r w:rsidRPr="00146A7A">
          <w:rPr>
            <w:rStyle w:val="Hyperlink"/>
            <w:rFonts w:ascii="Arial" w:hAnsi="Arial" w:cs="Arial"/>
            <w:sz w:val="13"/>
            <w:szCs w:val="13"/>
          </w:rPr>
          <w:t> </w:t>
        </w:r>
      </w:hyperlink>
    </w:p>
    <w:p w14:paraId="200AFCD6" w14:textId="77777777" w:rsidR="002C6D14" w:rsidRPr="00DF7ED9" w:rsidRDefault="002C6D14">
      <w:pPr>
        <w:pBdr>
          <w:bottom w:val="single" w:sz="8" w:space="0" w:color="000000"/>
        </w:pBdr>
        <w:spacing w:before="240" w:after="240"/>
        <w:sectPr w:rsidR="002C6D14" w:rsidRPr="00DF7ED9" w:rsidSect="00C63F54">
          <w:footerReference w:type="default" r:id="rId10"/>
          <w:footerReference w:type="first" r:id="rId11"/>
          <w:pgSz w:w="12240" w:h="15840"/>
          <w:pgMar w:top="0" w:right="288" w:bottom="288" w:left="288" w:header="720" w:footer="720" w:gutter="0"/>
          <w:cols w:space="720"/>
        </w:sectPr>
      </w:pPr>
    </w:p>
    <w:tbl>
      <w:tblPr>
        <w:tblW w:w="5000" w:type="pct"/>
        <w:tblCellSpacing w:w="0" w:type="dxa"/>
        <w:tblCellMar>
          <w:top w:w="15" w:type="dxa"/>
          <w:left w:w="15" w:type="dxa"/>
          <w:bottom w:w="15" w:type="dxa"/>
          <w:right w:w="15" w:type="dxa"/>
        </w:tblCellMar>
        <w:tblLook w:val="04A0" w:firstRow="1" w:lastRow="0" w:firstColumn="1" w:lastColumn="0" w:noHBand="0" w:noVBand="1"/>
      </w:tblPr>
      <w:tblGrid>
        <w:gridCol w:w="2916"/>
        <w:gridCol w:w="8748"/>
      </w:tblGrid>
      <w:tr w:rsidR="00BD53EC" w:rsidRPr="00DF7ED9" w14:paraId="7702093F" w14:textId="77777777" w:rsidTr="007504BD">
        <w:trPr>
          <w:cantSplit/>
          <w:tblCellSpacing w:w="0" w:type="dxa"/>
        </w:trPr>
        <w:tc>
          <w:tcPr>
            <w:tcW w:w="1250" w:type="pct"/>
            <w:tcMar>
              <w:top w:w="0" w:type="dxa"/>
              <w:left w:w="0" w:type="dxa"/>
              <w:bottom w:w="0" w:type="dxa"/>
              <w:right w:w="0" w:type="dxa"/>
            </w:tcMar>
            <w:vAlign w:val="center"/>
            <w:hideMark/>
          </w:tcPr>
          <w:p w14:paraId="6092545D" w14:textId="77777777" w:rsidR="002C6D14" w:rsidRPr="00DF7ED9" w:rsidRDefault="002C6D14">
            <w:pPr>
              <w:rPr>
                <w:rFonts w:ascii="Arial" w:hAnsi="Arial" w:cs="Arial"/>
                <w:color w:val="000000"/>
                <w:sz w:val="13"/>
                <w:szCs w:val="13"/>
              </w:rPr>
            </w:pPr>
          </w:p>
        </w:tc>
        <w:tc>
          <w:tcPr>
            <w:tcW w:w="3750" w:type="pct"/>
            <w:tcMar>
              <w:top w:w="0" w:type="dxa"/>
              <w:left w:w="0" w:type="dxa"/>
              <w:bottom w:w="0" w:type="dxa"/>
              <w:right w:w="0" w:type="dxa"/>
            </w:tcMar>
            <w:vAlign w:val="center"/>
            <w:hideMark/>
          </w:tcPr>
          <w:p w14:paraId="68BB5D95" w14:textId="77777777" w:rsidR="002C6D14" w:rsidRPr="00DF7ED9" w:rsidRDefault="002C6D14">
            <w:pPr>
              <w:rPr>
                <w:rFonts w:ascii="Arial" w:hAnsi="Arial" w:cs="Arial"/>
                <w:color w:val="000000"/>
                <w:sz w:val="13"/>
                <w:szCs w:val="13"/>
              </w:rPr>
            </w:pPr>
          </w:p>
        </w:tc>
      </w:tr>
      <w:tr w:rsidR="00BD53EC" w:rsidRPr="00DF7ED9" w14:paraId="6FD97B10" w14:textId="77777777" w:rsidTr="007504BD">
        <w:trPr>
          <w:cantSplit/>
          <w:tblCellSpacing w:w="0" w:type="dxa"/>
        </w:trPr>
        <w:tc>
          <w:tcPr>
            <w:tcW w:w="5000" w:type="pct"/>
            <w:gridSpan w:val="2"/>
            <w:shd w:val="clear" w:color="auto" w:fill="FFFFFF"/>
            <w:tcMar>
              <w:top w:w="0" w:type="dxa"/>
              <w:left w:w="119" w:type="dxa"/>
              <w:bottom w:w="0" w:type="dxa"/>
              <w:right w:w="119" w:type="dxa"/>
            </w:tcMar>
            <w:hideMark/>
          </w:tcPr>
          <w:p w14:paraId="2429BA36" w14:textId="77777777" w:rsidR="002C6D14" w:rsidRPr="00DF7ED9" w:rsidRDefault="00C24AAF">
            <w:pPr>
              <w:spacing w:line="180" w:lineRule="atLeast"/>
              <w:rPr>
                <w:rFonts w:ascii="Arial" w:hAnsi="Arial" w:cs="Arial"/>
                <w:color w:val="000000"/>
                <w:sz w:val="16"/>
                <w:szCs w:val="16"/>
              </w:rPr>
            </w:pPr>
            <w:r w:rsidRPr="00DF7ED9">
              <w:rPr>
                <w:rFonts w:ascii="Arial" w:eastAsia="Arial" w:hAnsi="Arial" w:cs="Arial"/>
                <w:b/>
                <w:bCs/>
                <w:i/>
                <w:iCs/>
                <w:color w:val="000000"/>
                <w:sz w:val="16"/>
                <w:szCs w:val="16"/>
              </w:rPr>
              <w:t>Terms continued from previous page</w:t>
            </w:r>
            <w:r w:rsidRPr="00DF7ED9">
              <w:rPr>
                <w:rFonts w:ascii="Arial" w:hAnsi="Arial" w:cs="Arial"/>
                <w:b/>
                <w:bCs/>
                <w:i/>
                <w:iCs/>
                <w:color w:val="000000"/>
                <w:sz w:val="16"/>
                <w:szCs w:val="16"/>
              </w:rPr>
              <w:t>:</w:t>
            </w:r>
          </w:p>
        </w:tc>
      </w:tr>
      <w:tr w:rsidR="00BD53EC" w:rsidRPr="00DF7ED9" w14:paraId="5831DDEA" w14:textId="77777777" w:rsidTr="007504BD">
        <w:trPr>
          <w:cantSplit/>
          <w:tblCellSpacing w:w="0" w:type="dxa"/>
        </w:trPr>
        <w:tc>
          <w:tcPr>
            <w:tcW w:w="1250" w:type="pct"/>
            <w:shd w:val="clear" w:color="auto" w:fill="FFFFFF"/>
            <w:tcMar>
              <w:top w:w="0" w:type="dxa"/>
              <w:left w:w="119" w:type="dxa"/>
              <w:bottom w:w="0" w:type="dxa"/>
              <w:right w:w="119" w:type="dxa"/>
            </w:tcMar>
            <w:hideMark/>
          </w:tcPr>
          <w:p w14:paraId="0552FFAA" w14:textId="77777777" w:rsidR="002C6D14" w:rsidRPr="00DF7ED9" w:rsidRDefault="00C24AAF">
            <w:pPr>
              <w:spacing w:line="180" w:lineRule="atLeast"/>
              <w:rPr>
                <w:rFonts w:ascii="Arial" w:hAnsi="Arial" w:cs="Arial"/>
                <w:color w:val="000000"/>
                <w:sz w:val="16"/>
                <w:szCs w:val="16"/>
              </w:rPr>
            </w:pPr>
            <w:r w:rsidRPr="00DF7ED9">
              <w:rPr>
                <w:rFonts w:ascii="Arial" w:eastAsia="Arial" w:hAnsi="Arial" w:cs="Arial"/>
                <w:b/>
                <w:bCs/>
                <w:color w:val="296DC1"/>
                <w:sz w:val="16"/>
                <w:szCs w:val="16"/>
              </w:rPr>
              <w:t>Initial index value</w:t>
            </w:r>
            <w:r w:rsidR="003F76B8" w:rsidRPr="00DF7ED9">
              <w:rPr>
                <w:rFonts w:ascii="Arial" w:eastAsia="Arial" w:hAnsi="Arial" w:cs="Arial"/>
                <w:b/>
                <w:bCs/>
                <w:color w:val="296DC1"/>
                <w:sz w:val="16"/>
                <w:szCs w:val="16"/>
              </w:rPr>
              <w:t>:</w:t>
            </w:r>
          </w:p>
        </w:tc>
        <w:tc>
          <w:tcPr>
            <w:tcW w:w="3750" w:type="pct"/>
            <w:shd w:val="clear" w:color="auto" w:fill="FFFFFF"/>
            <w:tcMar>
              <w:top w:w="0" w:type="dxa"/>
              <w:left w:w="119" w:type="dxa"/>
              <w:bottom w:w="0" w:type="dxa"/>
              <w:right w:w="119" w:type="dxa"/>
            </w:tcMar>
            <w:hideMark/>
          </w:tcPr>
          <w:p w14:paraId="5C26D122" w14:textId="5C48B9AF" w:rsidR="002C6D14" w:rsidRPr="00DF7ED9" w:rsidRDefault="000508AD">
            <w:pPr>
              <w:spacing w:line="180" w:lineRule="atLeast"/>
              <w:rPr>
                <w:rFonts w:ascii="Arial" w:hAnsi="Arial" w:cs="Arial"/>
                <w:color w:val="000000"/>
                <w:sz w:val="16"/>
                <w:szCs w:val="16"/>
              </w:rPr>
            </w:pPr>
            <w:r>
              <w:rPr>
                <w:rFonts w:ascii="Arial" w:eastAsia="Arial" w:hAnsi="Arial" w:cs="Arial"/>
                <w:color w:val="000000"/>
                <w:sz w:val="16"/>
                <w:szCs w:val="16"/>
              </w:rPr>
              <w:t>6,909.51</w:t>
            </w:r>
            <w:r w:rsidR="00C24AAF" w:rsidRPr="00DF7ED9">
              <w:rPr>
                <w:rFonts w:ascii="Arial" w:eastAsia="Arial" w:hAnsi="Arial" w:cs="Arial"/>
                <w:color w:val="000000"/>
                <w:sz w:val="16"/>
                <w:szCs w:val="16"/>
              </w:rPr>
              <w:t xml:space="preserve">, which is the </w:t>
            </w:r>
            <w:r w:rsidR="004B51F0" w:rsidRPr="00DF7ED9">
              <w:rPr>
                <w:rFonts w:ascii="Arial" w:eastAsia="Arial" w:hAnsi="Arial" w:cs="Arial"/>
                <w:color w:val="000000"/>
                <w:sz w:val="16"/>
                <w:szCs w:val="16"/>
              </w:rPr>
              <w:t>index closing value</w:t>
            </w:r>
            <w:r w:rsidR="00C24AAF" w:rsidRPr="00DF7ED9">
              <w:rPr>
                <w:rFonts w:ascii="Arial" w:eastAsia="Arial" w:hAnsi="Arial" w:cs="Arial"/>
                <w:color w:val="000000"/>
                <w:sz w:val="16"/>
                <w:szCs w:val="16"/>
              </w:rPr>
              <w:t xml:space="preserve"> of the </w:t>
            </w:r>
            <w:r w:rsidR="004B51F0" w:rsidRPr="00DF7ED9">
              <w:rPr>
                <w:rFonts w:ascii="Arial" w:eastAsia="Arial" w:hAnsi="Arial" w:cs="Arial"/>
                <w:color w:val="000000"/>
                <w:sz w:val="16"/>
                <w:szCs w:val="16"/>
              </w:rPr>
              <w:t>underlying index</w:t>
            </w:r>
            <w:r w:rsidR="00C24AAF" w:rsidRPr="00DF7ED9">
              <w:rPr>
                <w:rFonts w:ascii="Arial" w:eastAsia="Arial" w:hAnsi="Arial" w:cs="Arial"/>
                <w:color w:val="000000"/>
                <w:sz w:val="16"/>
                <w:szCs w:val="16"/>
              </w:rPr>
              <w:t xml:space="preserve"> on the pricing date</w:t>
            </w:r>
          </w:p>
        </w:tc>
      </w:tr>
      <w:tr w:rsidR="00BD53EC" w:rsidRPr="00DF7ED9" w14:paraId="0ED68C1D" w14:textId="77777777" w:rsidTr="007504BD">
        <w:trPr>
          <w:cantSplit/>
          <w:tblCellSpacing w:w="0" w:type="dxa"/>
        </w:trPr>
        <w:tc>
          <w:tcPr>
            <w:tcW w:w="1250" w:type="pct"/>
            <w:shd w:val="clear" w:color="auto" w:fill="DCEBF4"/>
            <w:tcMar>
              <w:top w:w="0" w:type="dxa"/>
              <w:left w:w="119" w:type="dxa"/>
              <w:bottom w:w="0" w:type="dxa"/>
              <w:right w:w="119" w:type="dxa"/>
            </w:tcMar>
            <w:hideMark/>
          </w:tcPr>
          <w:p w14:paraId="0C1B4EAD" w14:textId="77777777" w:rsidR="002C6D14" w:rsidRPr="00DF7ED9" w:rsidRDefault="00C24AAF">
            <w:pPr>
              <w:spacing w:line="180" w:lineRule="atLeast"/>
              <w:rPr>
                <w:rFonts w:ascii="Arial" w:hAnsi="Arial" w:cs="Arial"/>
                <w:color w:val="000000"/>
                <w:sz w:val="16"/>
                <w:szCs w:val="16"/>
              </w:rPr>
            </w:pPr>
            <w:r w:rsidRPr="00DF7ED9">
              <w:rPr>
                <w:rFonts w:ascii="Arial" w:eastAsia="Arial" w:hAnsi="Arial" w:cs="Arial"/>
                <w:b/>
                <w:bCs/>
                <w:color w:val="296DC1"/>
                <w:sz w:val="16"/>
                <w:szCs w:val="16"/>
              </w:rPr>
              <w:t>Final index value</w:t>
            </w:r>
            <w:r w:rsidR="003F76B8" w:rsidRPr="00DF7ED9">
              <w:rPr>
                <w:rFonts w:ascii="Arial" w:eastAsia="Arial" w:hAnsi="Arial" w:cs="Arial"/>
                <w:b/>
                <w:bCs/>
                <w:color w:val="296DC1"/>
                <w:sz w:val="16"/>
                <w:szCs w:val="16"/>
              </w:rPr>
              <w:t>:</w:t>
            </w:r>
          </w:p>
        </w:tc>
        <w:tc>
          <w:tcPr>
            <w:tcW w:w="3750" w:type="pct"/>
            <w:shd w:val="clear" w:color="auto" w:fill="DCEBF4"/>
            <w:tcMar>
              <w:top w:w="0" w:type="dxa"/>
              <w:left w:w="119" w:type="dxa"/>
              <w:bottom w:w="0" w:type="dxa"/>
              <w:right w:w="119" w:type="dxa"/>
            </w:tcMar>
            <w:hideMark/>
          </w:tcPr>
          <w:p w14:paraId="0EA5EF35" w14:textId="77777777" w:rsidR="002C6D14" w:rsidRPr="00DF7ED9" w:rsidRDefault="00C24AAF">
            <w:pPr>
              <w:spacing w:line="180" w:lineRule="atLeast"/>
              <w:rPr>
                <w:rFonts w:ascii="Arial" w:hAnsi="Arial" w:cs="Arial"/>
                <w:color w:val="000000"/>
                <w:sz w:val="16"/>
                <w:szCs w:val="16"/>
              </w:rPr>
            </w:pPr>
            <w:r w:rsidRPr="00DF7ED9">
              <w:rPr>
                <w:rFonts w:ascii="Arial" w:eastAsia="Arial" w:hAnsi="Arial" w:cs="Arial"/>
                <w:color w:val="000000"/>
                <w:sz w:val="16"/>
                <w:szCs w:val="16"/>
              </w:rPr>
              <w:t xml:space="preserve">The </w:t>
            </w:r>
            <w:r w:rsidR="004B51F0" w:rsidRPr="00DF7ED9">
              <w:rPr>
                <w:rFonts w:ascii="Arial" w:eastAsia="Arial" w:hAnsi="Arial" w:cs="Arial"/>
                <w:color w:val="000000"/>
                <w:sz w:val="16"/>
                <w:szCs w:val="16"/>
              </w:rPr>
              <w:t>index closing value</w:t>
            </w:r>
            <w:r w:rsidRPr="00DF7ED9">
              <w:rPr>
                <w:rFonts w:ascii="Arial" w:eastAsia="Arial" w:hAnsi="Arial" w:cs="Arial"/>
                <w:color w:val="000000"/>
                <w:sz w:val="16"/>
                <w:szCs w:val="16"/>
              </w:rPr>
              <w:t xml:space="preserve"> of the </w:t>
            </w:r>
            <w:r w:rsidR="004B51F0" w:rsidRPr="00DF7ED9">
              <w:rPr>
                <w:rFonts w:ascii="Arial" w:eastAsia="Arial" w:hAnsi="Arial" w:cs="Arial"/>
                <w:color w:val="000000"/>
                <w:sz w:val="16"/>
                <w:szCs w:val="16"/>
              </w:rPr>
              <w:t>underlying index</w:t>
            </w:r>
            <w:r w:rsidRPr="00DF7ED9">
              <w:rPr>
                <w:rFonts w:ascii="Arial" w:eastAsia="Arial" w:hAnsi="Arial" w:cs="Arial"/>
                <w:color w:val="000000"/>
                <w:sz w:val="16"/>
                <w:szCs w:val="16"/>
              </w:rPr>
              <w:t xml:space="preserve"> on the final observation date</w:t>
            </w:r>
          </w:p>
        </w:tc>
      </w:tr>
      <w:tr w:rsidR="00BD53EC" w:rsidRPr="00DF7ED9" w14:paraId="221DE168" w14:textId="77777777" w:rsidTr="007504BD">
        <w:trPr>
          <w:cantSplit/>
          <w:tblCellSpacing w:w="0" w:type="dxa"/>
        </w:trPr>
        <w:tc>
          <w:tcPr>
            <w:tcW w:w="1250" w:type="pct"/>
            <w:shd w:val="clear" w:color="auto" w:fill="FFFFFF"/>
            <w:tcMar>
              <w:top w:w="0" w:type="dxa"/>
              <w:left w:w="119" w:type="dxa"/>
              <w:bottom w:w="0" w:type="dxa"/>
              <w:right w:w="119" w:type="dxa"/>
            </w:tcMar>
            <w:hideMark/>
          </w:tcPr>
          <w:p w14:paraId="57C9EF6D" w14:textId="77777777" w:rsidR="002C6D14" w:rsidRPr="00DF7ED9" w:rsidRDefault="00C24AAF">
            <w:pPr>
              <w:spacing w:line="180" w:lineRule="atLeast"/>
              <w:rPr>
                <w:rFonts w:ascii="Arial" w:hAnsi="Arial" w:cs="Arial"/>
                <w:color w:val="000000"/>
                <w:sz w:val="16"/>
                <w:szCs w:val="16"/>
              </w:rPr>
            </w:pPr>
            <w:r w:rsidRPr="00DF7ED9">
              <w:rPr>
                <w:rFonts w:ascii="Arial" w:eastAsia="Arial" w:hAnsi="Arial" w:cs="Arial"/>
                <w:b/>
                <w:bCs/>
                <w:color w:val="296DC1"/>
                <w:sz w:val="16"/>
                <w:szCs w:val="16"/>
              </w:rPr>
              <w:t>Observation dates:</w:t>
            </w:r>
          </w:p>
        </w:tc>
        <w:tc>
          <w:tcPr>
            <w:tcW w:w="3750" w:type="pct"/>
            <w:shd w:val="clear" w:color="auto" w:fill="FFFFFF"/>
            <w:tcMar>
              <w:top w:w="0" w:type="dxa"/>
              <w:left w:w="119" w:type="dxa"/>
              <w:bottom w:w="0" w:type="dxa"/>
              <w:right w:w="119" w:type="dxa"/>
            </w:tcMar>
            <w:vAlign w:val="center"/>
            <w:hideMark/>
          </w:tcPr>
          <w:p w14:paraId="78F31FF5" w14:textId="440EA2CE" w:rsidR="002C6D14" w:rsidRPr="00DF7ED9" w:rsidRDefault="00417ECE">
            <w:pPr>
              <w:spacing w:line="180" w:lineRule="atLeast"/>
              <w:rPr>
                <w:rFonts w:ascii="Arial" w:hAnsi="Arial" w:cs="Arial"/>
                <w:color w:val="000000"/>
                <w:sz w:val="16"/>
                <w:szCs w:val="16"/>
              </w:rPr>
            </w:pPr>
            <w:r w:rsidRPr="00DF7ED9">
              <w:rPr>
                <w:rFonts w:ascii="Arial" w:eastAsia="Arial" w:hAnsi="Arial" w:cs="Arial"/>
                <w:color w:val="000000"/>
                <w:sz w:val="16"/>
                <w:szCs w:val="16"/>
              </w:rPr>
              <w:t xml:space="preserve">Quarterly, beginning </w:t>
            </w:r>
            <w:r w:rsidR="00A80421">
              <w:rPr>
                <w:rFonts w:ascii="Helvetica" w:eastAsia="Helvetica" w:hAnsi="Helvetica"/>
                <w:sz w:val="16"/>
              </w:rPr>
              <w:t>M</w:t>
            </w:r>
            <w:r w:rsidR="00DE6B5C">
              <w:rPr>
                <w:rFonts w:ascii="Helvetica" w:eastAsia="Helvetica" w:hAnsi="Helvetica"/>
                <w:sz w:val="16"/>
              </w:rPr>
              <w:t>a</w:t>
            </w:r>
            <w:r w:rsidR="00A80421">
              <w:rPr>
                <w:rFonts w:ascii="Helvetica" w:eastAsia="Helvetica" w:hAnsi="Helvetica"/>
                <w:sz w:val="16"/>
              </w:rPr>
              <w:t>y 20, 2026</w:t>
            </w:r>
            <w:r w:rsidRPr="00DF7ED9">
              <w:rPr>
                <w:rFonts w:ascii="Arial" w:eastAsia="Arial" w:hAnsi="Arial" w:cs="Arial"/>
                <w:color w:val="000000"/>
                <w:sz w:val="16"/>
                <w:szCs w:val="16"/>
              </w:rPr>
              <w:t>, as</w:t>
            </w:r>
            <w:r w:rsidR="00C24AAF" w:rsidRPr="00DF7ED9">
              <w:rPr>
                <w:rFonts w:ascii="Arial" w:eastAsia="Arial" w:hAnsi="Arial" w:cs="Arial"/>
                <w:color w:val="000000"/>
                <w:sz w:val="16"/>
                <w:szCs w:val="16"/>
              </w:rPr>
              <w:t xml:space="preserve"> set forth under “Observation Dates, Coupon Payment Dates and Redemption Dates” below, </w:t>
            </w:r>
            <w:r w:rsidR="00C80983" w:rsidRPr="00DF7ED9">
              <w:rPr>
                <w:rFonts w:ascii="Arial" w:eastAsia="Arial" w:hAnsi="Arial" w:cs="Arial"/>
                <w:color w:val="000000"/>
                <w:sz w:val="16"/>
                <w:szCs w:val="16"/>
              </w:rPr>
              <w:t>subject to postponement as set forth in “Description of the Notes—Certain Terms of the Notes—Events Relating to Observation Dates” beginning on page PS-</w:t>
            </w:r>
            <w:r w:rsidR="00E03692">
              <w:rPr>
                <w:rFonts w:ascii="Arial" w:eastAsia="Arial" w:hAnsi="Arial" w:cs="Arial"/>
                <w:color w:val="000000"/>
                <w:sz w:val="16"/>
                <w:szCs w:val="16"/>
              </w:rPr>
              <w:t>18</w:t>
            </w:r>
            <w:r w:rsidR="00C80983" w:rsidRPr="00DF7ED9">
              <w:rPr>
                <w:rFonts w:ascii="Arial" w:eastAsia="Arial" w:hAnsi="Arial" w:cs="Arial"/>
                <w:color w:val="000000"/>
                <w:sz w:val="16"/>
                <w:szCs w:val="16"/>
              </w:rPr>
              <w:t xml:space="preserve"> of the accompanying product supplement</w:t>
            </w:r>
            <w:r w:rsidR="00C24AAF" w:rsidRPr="00DF7ED9">
              <w:rPr>
                <w:rFonts w:ascii="Arial" w:eastAsia="Arial" w:hAnsi="Arial" w:cs="Arial"/>
                <w:color w:val="000000"/>
                <w:sz w:val="16"/>
                <w:szCs w:val="16"/>
              </w:rPr>
              <w:t>.  We also refer to the observation date immediately prior to the maturity date as the final observation date.</w:t>
            </w:r>
          </w:p>
        </w:tc>
      </w:tr>
      <w:tr w:rsidR="00BD53EC" w:rsidRPr="00DF7ED9" w14:paraId="5E3FD3AB" w14:textId="77777777" w:rsidTr="007504BD">
        <w:trPr>
          <w:cantSplit/>
          <w:tblCellSpacing w:w="0" w:type="dxa"/>
        </w:trPr>
        <w:tc>
          <w:tcPr>
            <w:tcW w:w="1250" w:type="pct"/>
            <w:shd w:val="clear" w:color="auto" w:fill="DCEBF4"/>
            <w:tcMar>
              <w:top w:w="0" w:type="dxa"/>
              <w:left w:w="119" w:type="dxa"/>
              <w:bottom w:w="0" w:type="dxa"/>
              <w:right w:w="119" w:type="dxa"/>
            </w:tcMar>
            <w:hideMark/>
          </w:tcPr>
          <w:p w14:paraId="6F5D1FBB" w14:textId="77777777" w:rsidR="002C6D14" w:rsidRPr="00DF7ED9" w:rsidRDefault="00C24AAF">
            <w:pPr>
              <w:spacing w:line="180" w:lineRule="atLeast"/>
              <w:rPr>
                <w:rFonts w:ascii="Arial" w:hAnsi="Arial" w:cs="Arial"/>
                <w:color w:val="000000"/>
                <w:sz w:val="16"/>
                <w:szCs w:val="16"/>
              </w:rPr>
            </w:pPr>
            <w:r w:rsidRPr="00DF7ED9">
              <w:rPr>
                <w:rFonts w:ascii="Arial" w:eastAsia="Arial" w:hAnsi="Arial" w:cs="Arial"/>
                <w:b/>
                <w:bCs/>
                <w:color w:val="296DC1"/>
                <w:sz w:val="16"/>
                <w:szCs w:val="16"/>
              </w:rPr>
              <w:t xml:space="preserve">Coupon payment dates: </w:t>
            </w:r>
          </w:p>
        </w:tc>
        <w:tc>
          <w:tcPr>
            <w:tcW w:w="3750" w:type="pct"/>
            <w:shd w:val="clear" w:color="auto" w:fill="DCEBF4"/>
            <w:tcMar>
              <w:top w:w="0" w:type="dxa"/>
              <w:left w:w="119" w:type="dxa"/>
              <w:bottom w:w="0" w:type="dxa"/>
              <w:right w:w="119" w:type="dxa"/>
            </w:tcMar>
            <w:vAlign w:val="center"/>
            <w:hideMark/>
          </w:tcPr>
          <w:p w14:paraId="629737AD" w14:textId="5B56FE50" w:rsidR="002C6D14" w:rsidRPr="00DF7ED9" w:rsidRDefault="00C24AAF">
            <w:pPr>
              <w:spacing w:line="180" w:lineRule="atLeast"/>
              <w:rPr>
                <w:rFonts w:ascii="Arial" w:hAnsi="Arial" w:cs="Arial"/>
                <w:color w:val="000000"/>
                <w:sz w:val="16"/>
                <w:szCs w:val="16"/>
              </w:rPr>
            </w:pPr>
            <w:r w:rsidRPr="00DF7ED9">
              <w:rPr>
                <w:rFonts w:ascii="Arial" w:eastAsia="Arial" w:hAnsi="Arial" w:cs="Arial"/>
                <w:color w:val="000000"/>
                <w:sz w:val="16"/>
                <w:szCs w:val="16"/>
              </w:rPr>
              <w:t xml:space="preserve">Quarterly, beginning </w:t>
            </w:r>
            <w:r w:rsidR="00290387">
              <w:rPr>
                <w:rFonts w:ascii="Arial" w:eastAsia="Arial" w:hAnsi="Arial" w:cs="Arial"/>
                <w:color w:val="000000"/>
                <w:sz w:val="16"/>
                <w:szCs w:val="16"/>
              </w:rPr>
              <w:t>May 26, 2026</w:t>
            </w:r>
            <w:r w:rsidR="00417ECE" w:rsidRPr="00DF7ED9">
              <w:rPr>
                <w:rFonts w:ascii="Arial" w:eastAsia="Arial" w:hAnsi="Arial" w:cs="Arial"/>
                <w:color w:val="000000"/>
                <w:sz w:val="16"/>
                <w:szCs w:val="16"/>
              </w:rPr>
              <w:t>, as set forth under "Observation Dates, Coupon Payment Dates and Redemption Dates" below</w:t>
            </w:r>
            <w:r w:rsidR="00C80983" w:rsidRPr="00DF7ED9">
              <w:rPr>
                <w:rFonts w:ascii="Arial" w:eastAsia="Arial" w:hAnsi="Arial" w:cs="Arial"/>
                <w:color w:val="000000"/>
                <w:sz w:val="16"/>
                <w:szCs w:val="16"/>
              </w:rPr>
              <w:t>.</w:t>
            </w:r>
          </w:p>
        </w:tc>
      </w:tr>
      <w:tr w:rsidR="00BD53EC" w:rsidRPr="00DF7ED9" w14:paraId="7858B4B3" w14:textId="77777777" w:rsidTr="007504BD">
        <w:trPr>
          <w:cantSplit/>
          <w:tblCellSpacing w:w="0" w:type="dxa"/>
        </w:trPr>
        <w:tc>
          <w:tcPr>
            <w:tcW w:w="1250" w:type="pct"/>
            <w:shd w:val="clear" w:color="auto" w:fill="FFFFFF"/>
            <w:tcMar>
              <w:top w:w="0" w:type="dxa"/>
              <w:left w:w="119" w:type="dxa"/>
              <w:bottom w:w="0" w:type="dxa"/>
              <w:right w:w="119" w:type="dxa"/>
            </w:tcMar>
            <w:hideMark/>
          </w:tcPr>
          <w:p w14:paraId="51A82F92" w14:textId="77777777" w:rsidR="002C6D14" w:rsidRPr="00DF7ED9" w:rsidRDefault="00C24AAF">
            <w:pPr>
              <w:spacing w:line="180" w:lineRule="atLeast"/>
              <w:rPr>
                <w:rFonts w:ascii="Arial" w:hAnsi="Arial" w:cs="Arial"/>
                <w:color w:val="000000"/>
                <w:sz w:val="16"/>
                <w:szCs w:val="16"/>
              </w:rPr>
            </w:pPr>
            <w:r w:rsidRPr="00DF7ED9">
              <w:rPr>
                <w:rFonts w:ascii="Arial" w:eastAsia="Arial" w:hAnsi="Arial" w:cs="Arial"/>
                <w:b/>
                <w:bCs/>
                <w:color w:val="296DC1"/>
                <w:sz w:val="16"/>
                <w:szCs w:val="16"/>
              </w:rPr>
              <w:t>Index performance factor:</w:t>
            </w:r>
          </w:p>
        </w:tc>
        <w:tc>
          <w:tcPr>
            <w:tcW w:w="3750" w:type="pct"/>
            <w:shd w:val="clear" w:color="auto" w:fill="FFFFFF"/>
            <w:tcMar>
              <w:top w:w="0" w:type="dxa"/>
              <w:left w:w="119" w:type="dxa"/>
              <w:bottom w:w="0" w:type="dxa"/>
              <w:right w:w="119" w:type="dxa"/>
            </w:tcMar>
            <w:hideMark/>
          </w:tcPr>
          <w:p w14:paraId="3C35D5D2" w14:textId="77777777" w:rsidR="002C6D14" w:rsidRPr="00DF7ED9" w:rsidRDefault="00C24AAF">
            <w:pPr>
              <w:spacing w:line="180" w:lineRule="atLeast"/>
              <w:rPr>
                <w:rFonts w:ascii="Arial" w:hAnsi="Arial" w:cs="Arial"/>
                <w:color w:val="000000"/>
                <w:sz w:val="16"/>
                <w:szCs w:val="16"/>
              </w:rPr>
            </w:pPr>
            <w:r w:rsidRPr="00DF7ED9">
              <w:rPr>
                <w:rFonts w:ascii="Arial" w:eastAsia="Arial" w:hAnsi="Arial" w:cs="Arial"/>
                <w:color w:val="000000"/>
                <w:sz w:val="16"/>
                <w:szCs w:val="16"/>
              </w:rPr>
              <w:t xml:space="preserve">The </w:t>
            </w:r>
            <w:r w:rsidR="00B07BDF" w:rsidRPr="00DF7ED9">
              <w:rPr>
                <w:rFonts w:ascii="Arial" w:eastAsia="Arial" w:hAnsi="Arial" w:cs="Arial"/>
                <w:color w:val="000000"/>
                <w:sz w:val="16"/>
                <w:szCs w:val="16"/>
              </w:rPr>
              <w:t>final index value</w:t>
            </w:r>
            <w:r w:rsidRPr="00DF7ED9">
              <w:rPr>
                <w:rFonts w:ascii="Arial" w:eastAsia="Arial" w:hAnsi="Arial" w:cs="Arial"/>
                <w:color w:val="000000"/>
                <w:sz w:val="16"/>
                <w:szCs w:val="16"/>
              </w:rPr>
              <w:t xml:space="preserve"> </w:t>
            </w:r>
            <w:r w:rsidRPr="00DF7ED9">
              <w:rPr>
                <w:rFonts w:ascii="Arial" w:eastAsia="Arial" w:hAnsi="Arial" w:cs="Arial"/>
                <w:i/>
                <w:iCs/>
                <w:color w:val="000000"/>
                <w:sz w:val="16"/>
                <w:szCs w:val="16"/>
              </w:rPr>
              <w:t>divided by</w:t>
            </w:r>
            <w:r w:rsidRPr="00DF7ED9">
              <w:rPr>
                <w:rFonts w:ascii="Arial" w:eastAsia="Arial" w:hAnsi="Arial" w:cs="Arial"/>
                <w:color w:val="000000"/>
                <w:sz w:val="16"/>
                <w:szCs w:val="16"/>
              </w:rPr>
              <w:t xml:space="preserve"> the </w:t>
            </w:r>
            <w:r w:rsidR="00B07BDF" w:rsidRPr="00DF7ED9">
              <w:rPr>
                <w:rFonts w:ascii="Arial" w:eastAsia="Arial" w:hAnsi="Arial" w:cs="Arial"/>
                <w:color w:val="000000"/>
                <w:sz w:val="16"/>
                <w:szCs w:val="16"/>
              </w:rPr>
              <w:t>initial index value</w:t>
            </w:r>
            <w:r w:rsidRPr="00DF7ED9">
              <w:rPr>
                <w:rFonts w:ascii="Arial" w:eastAsia="Arial" w:hAnsi="Arial" w:cs="Arial"/>
                <w:color w:val="000000"/>
                <w:sz w:val="16"/>
                <w:szCs w:val="16"/>
              </w:rPr>
              <w:t>.</w:t>
            </w:r>
          </w:p>
        </w:tc>
      </w:tr>
      <w:tr w:rsidR="00BD53EC" w:rsidRPr="00DF7ED9" w14:paraId="7152F772" w14:textId="77777777" w:rsidTr="007504BD">
        <w:trPr>
          <w:cantSplit/>
          <w:tblCellSpacing w:w="0" w:type="dxa"/>
        </w:trPr>
        <w:tc>
          <w:tcPr>
            <w:tcW w:w="1250" w:type="pct"/>
            <w:shd w:val="clear" w:color="auto" w:fill="DCEBF4"/>
            <w:tcMar>
              <w:top w:w="0" w:type="dxa"/>
              <w:left w:w="119" w:type="dxa"/>
              <w:bottom w:w="0" w:type="dxa"/>
              <w:right w:w="119" w:type="dxa"/>
            </w:tcMar>
            <w:hideMark/>
          </w:tcPr>
          <w:p w14:paraId="7E1927F1" w14:textId="77777777" w:rsidR="002C6D14" w:rsidRPr="00DF7ED9" w:rsidRDefault="00C24AAF">
            <w:pPr>
              <w:spacing w:line="180" w:lineRule="atLeast"/>
              <w:rPr>
                <w:rFonts w:ascii="Arial" w:hAnsi="Arial" w:cs="Arial"/>
                <w:color w:val="000000"/>
                <w:sz w:val="16"/>
                <w:szCs w:val="16"/>
              </w:rPr>
            </w:pPr>
            <w:r w:rsidRPr="00DF7ED9">
              <w:rPr>
                <w:rFonts w:ascii="Arial" w:eastAsia="Arial" w:hAnsi="Arial" w:cs="Arial"/>
                <w:b/>
                <w:bCs/>
                <w:color w:val="296DC1"/>
                <w:sz w:val="16"/>
                <w:szCs w:val="16"/>
              </w:rPr>
              <w:t>CUS</w:t>
            </w:r>
            <w:r w:rsidR="005E363C" w:rsidRPr="00DF7ED9">
              <w:rPr>
                <w:rFonts w:ascii="Arial" w:eastAsia="Arial" w:hAnsi="Arial" w:cs="Arial"/>
                <w:b/>
                <w:bCs/>
                <w:color w:val="296DC1"/>
                <w:sz w:val="16"/>
                <w:szCs w:val="16"/>
              </w:rPr>
              <w:t>IP</w:t>
            </w:r>
            <w:r w:rsidR="0080074C" w:rsidRPr="00DF7ED9">
              <w:rPr>
                <w:rFonts w:ascii="Arial" w:eastAsia="Arial" w:hAnsi="Arial" w:cs="Arial"/>
                <w:b/>
                <w:bCs/>
                <w:color w:val="296DC1"/>
                <w:sz w:val="16"/>
                <w:szCs w:val="16"/>
              </w:rPr>
              <w:t xml:space="preserve"> / ISIN</w:t>
            </w:r>
            <w:r w:rsidRPr="00DF7ED9">
              <w:rPr>
                <w:rFonts w:ascii="Arial" w:eastAsia="Arial" w:hAnsi="Arial" w:cs="Arial"/>
                <w:b/>
                <w:bCs/>
                <w:color w:val="296DC1"/>
                <w:sz w:val="16"/>
                <w:szCs w:val="16"/>
              </w:rPr>
              <w:t>:</w:t>
            </w:r>
          </w:p>
        </w:tc>
        <w:tc>
          <w:tcPr>
            <w:tcW w:w="3750" w:type="pct"/>
            <w:shd w:val="clear" w:color="auto" w:fill="DCEBF4"/>
            <w:tcMar>
              <w:top w:w="0" w:type="dxa"/>
              <w:left w:w="119" w:type="dxa"/>
              <w:bottom w:w="0" w:type="dxa"/>
              <w:right w:w="119" w:type="dxa"/>
            </w:tcMar>
            <w:hideMark/>
          </w:tcPr>
          <w:p w14:paraId="261E3E91" w14:textId="745355A9" w:rsidR="002C6D14" w:rsidRPr="00DF7ED9" w:rsidRDefault="00DE6B5C">
            <w:pPr>
              <w:spacing w:line="180" w:lineRule="atLeast"/>
              <w:rPr>
                <w:rFonts w:ascii="Arial" w:hAnsi="Arial" w:cs="Arial"/>
                <w:color w:val="000000"/>
                <w:sz w:val="16"/>
                <w:szCs w:val="16"/>
              </w:rPr>
            </w:pPr>
            <w:r w:rsidRPr="00DE6B5C">
              <w:rPr>
                <w:rFonts w:ascii="Arial" w:eastAsia="Arial" w:hAnsi="Arial" w:cs="Arial"/>
                <w:color w:val="000000"/>
                <w:sz w:val="16"/>
                <w:szCs w:val="16"/>
              </w:rPr>
              <w:t xml:space="preserve">09711KCL8 </w:t>
            </w:r>
            <w:r w:rsidR="00077CDF" w:rsidRPr="00077CDF">
              <w:rPr>
                <w:rFonts w:ascii="Arial" w:eastAsia="Arial" w:hAnsi="Arial" w:cs="Arial"/>
                <w:color w:val="000000"/>
                <w:sz w:val="16"/>
                <w:szCs w:val="16"/>
              </w:rPr>
              <w:t xml:space="preserve">/ </w:t>
            </w:r>
            <w:r w:rsidRPr="00DE6B5C">
              <w:rPr>
                <w:rFonts w:ascii="Arial" w:eastAsia="Arial" w:hAnsi="Arial" w:cs="Arial"/>
                <w:color w:val="000000"/>
                <w:sz w:val="16"/>
                <w:szCs w:val="16"/>
              </w:rPr>
              <w:t>US09711KCL89</w:t>
            </w:r>
          </w:p>
        </w:tc>
      </w:tr>
      <w:tr w:rsidR="00BD53EC" w:rsidRPr="00DF7ED9" w14:paraId="7CD30106" w14:textId="77777777" w:rsidTr="007504BD">
        <w:trPr>
          <w:cantSplit/>
          <w:tblCellSpacing w:w="0" w:type="dxa"/>
        </w:trPr>
        <w:tc>
          <w:tcPr>
            <w:tcW w:w="1250" w:type="pct"/>
            <w:shd w:val="clear" w:color="auto" w:fill="FFFFFF"/>
            <w:tcMar>
              <w:top w:w="0" w:type="dxa"/>
              <w:left w:w="119" w:type="dxa"/>
              <w:bottom w:w="0" w:type="dxa"/>
              <w:right w:w="119" w:type="dxa"/>
            </w:tcMar>
            <w:hideMark/>
          </w:tcPr>
          <w:p w14:paraId="16EBC827" w14:textId="77777777" w:rsidR="002C6D14" w:rsidRPr="00DF7ED9" w:rsidRDefault="00C24AAF">
            <w:pPr>
              <w:spacing w:line="180" w:lineRule="atLeast"/>
              <w:rPr>
                <w:rFonts w:ascii="Arial" w:hAnsi="Arial" w:cs="Arial"/>
                <w:color w:val="000000"/>
                <w:sz w:val="16"/>
                <w:szCs w:val="16"/>
              </w:rPr>
            </w:pPr>
            <w:r w:rsidRPr="00DF7ED9">
              <w:rPr>
                <w:rFonts w:ascii="Arial" w:eastAsia="Arial" w:hAnsi="Arial" w:cs="Arial"/>
                <w:b/>
                <w:bCs/>
                <w:color w:val="296DC1"/>
                <w:sz w:val="16"/>
                <w:szCs w:val="16"/>
              </w:rPr>
              <w:t>Listing:</w:t>
            </w:r>
          </w:p>
        </w:tc>
        <w:tc>
          <w:tcPr>
            <w:tcW w:w="3750" w:type="pct"/>
            <w:shd w:val="clear" w:color="auto" w:fill="FFFFFF"/>
            <w:tcMar>
              <w:top w:w="0" w:type="dxa"/>
              <w:left w:w="119" w:type="dxa"/>
              <w:bottom w:w="0" w:type="dxa"/>
              <w:right w:w="119" w:type="dxa"/>
            </w:tcMar>
            <w:vAlign w:val="center"/>
            <w:hideMark/>
          </w:tcPr>
          <w:p w14:paraId="6E6A3DD5" w14:textId="77777777" w:rsidR="002C6D14" w:rsidRPr="00DF7ED9" w:rsidRDefault="00C24AAF">
            <w:pPr>
              <w:spacing w:line="180" w:lineRule="atLeast"/>
              <w:rPr>
                <w:rFonts w:ascii="Arial" w:hAnsi="Arial" w:cs="Arial"/>
                <w:color w:val="000000"/>
                <w:sz w:val="16"/>
                <w:szCs w:val="16"/>
              </w:rPr>
            </w:pPr>
            <w:r w:rsidRPr="00DF7ED9">
              <w:rPr>
                <w:rFonts w:ascii="Arial" w:eastAsia="Arial" w:hAnsi="Arial" w:cs="Arial"/>
                <w:color w:val="000000"/>
                <w:sz w:val="16"/>
                <w:szCs w:val="16"/>
              </w:rPr>
              <w:t>The securities will not be listed on any securities exchange.</w:t>
            </w:r>
          </w:p>
        </w:tc>
      </w:tr>
    </w:tbl>
    <w:p w14:paraId="45DB2BB4" w14:textId="77777777" w:rsidR="007504BD" w:rsidRPr="00DF7ED9" w:rsidRDefault="007504BD">
      <w:pPr>
        <w:spacing w:after="220" w:line="288" w:lineRule="atLeast"/>
        <w:ind w:left="594" w:right="792"/>
        <w:jc w:val="center"/>
        <w:rPr>
          <w:rFonts w:ascii="Arial" w:eastAsia="Arial" w:hAnsi="Arial" w:cs="Arial"/>
          <w:color w:val="296DC1"/>
          <w:sz w:val="28"/>
          <w:szCs w:val="28"/>
        </w:rPr>
      </w:pPr>
    </w:p>
    <w:p w14:paraId="04288138" w14:textId="77777777" w:rsidR="002C6D14" w:rsidRPr="00DF7ED9" w:rsidRDefault="00C24AAF">
      <w:pPr>
        <w:spacing w:after="220" w:line="288" w:lineRule="atLeast"/>
        <w:ind w:left="594" w:right="792"/>
        <w:jc w:val="center"/>
        <w:rPr>
          <w:sz w:val="28"/>
          <w:szCs w:val="28"/>
        </w:rPr>
      </w:pPr>
      <w:r w:rsidRPr="00DF7ED9">
        <w:rPr>
          <w:rFonts w:ascii="Arial" w:eastAsia="Arial" w:hAnsi="Arial" w:cs="Arial"/>
          <w:color w:val="296DC1"/>
          <w:sz w:val="28"/>
          <w:szCs w:val="28"/>
        </w:rPr>
        <w:t>Observation Dates, Coupon Payment Dates and Redemption Dates</w:t>
      </w:r>
    </w:p>
    <w:tbl>
      <w:tblPr>
        <w:tblW w:w="5000" w:type="pct"/>
        <w:tblCellSpacing w:w="0" w:type="dxa"/>
        <w:tblCellMar>
          <w:top w:w="15" w:type="dxa"/>
          <w:left w:w="15" w:type="dxa"/>
          <w:bottom w:w="15" w:type="dxa"/>
          <w:right w:w="15" w:type="dxa"/>
        </w:tblCellMar>
        <w:tblLook w:val="04A0" w:firstRow="1" w:lastRow="0" w:firstColumn="1" w:lastColumn="0" w:noHBand="0" w:noVBand="1"/>
      </w:tblPr>
      <w:tblGrid>
        <w:gridCol w:w="6721"/>
        <w:gridCol w:w="4943"/>
      </w:tblGrid>
      <w:tr w:rsidR="00BD53EC" w:rsidRPr="00DF7ED9" w14:paraId="0275374F" w14:textId="77777777" w:rsidTr="007504BD">
        <w:trPr>
          <w:cantSplit/>
          <w:tblCellSpacing w:w="0" w:type="dxa"/>
        </w:trPr>
        <w:tc>
          <w:tcPr>
            <w:tcW w:w="2881" w:type="pct"/>
            <w:tcMar>
              <w:top w:w="0" w:type="dxa"/>
              <w:left w:w="0" w:type="dxa"/>
              <w:bottom w:w="0" w:type="dxa"/>
              <w:right w:w="0" w:type="dxa"/>
            </w:tcMar>
            <w:vAlign w:val="center"/>
            <w:hideMark/>
          </w:tcPr>
          <w:p w14:paraId="20F1F93E" w14:textId="77777777" w:rsidR="002C6D14" w:rsidRPr="00DF7ED9" w:rsidRDefault="002C6D14">
            <w:pPr>
              <w:rPr>
                <w:color w:val="000000"/>
              </w:rPr>
            </w:pPr>
          </w:p>
        </w:tc>
        <w:tc>
          <w:tcPr>
            <w:tcW w:w="2119" w:type="pct"/>
            <w:tcMar>
              <w:top w:w="0" w:type="dxa"/>
              <w:left w:w="0" w:type="dxa"/>
              <w:bottom w:w="0" w:type="dxa"/>
              <w:right w:w="0" w:type="dxa"/>
            </w:tcMar>
            <w:vAlign w:val="center"/>
            <w:hideMark/>
          </w:tcPr>
          <w:p w14:paraId="7DF38654" w14:textId="77777777" w:rsidR="002C6D14" w:rsidRPr="00DF7ED9" w:rsidRDefault="002C6D14">
            <w:pPr>
              <w:rPr>
                <w:color w:val="000000"/>
              </w:rPr>
            </w:pPr>
          </w:p>
        </w:tc>
      </w:tr>
      <w:tr w:rsidR="00BD53EC" w:rsidRPr="00DF7ED9" w14:paraId="757355E6" w14:textId="77777777" w:rsidTr="007504BD">
        <w:trPr>
          <w:cantSplit/>
          <w:tblCellSpacing w:w="0" w:type="dxa"/>
        </w:trPr>
        <w:tc>
          <w:tcPr>
            <w:tcW w:w="2881" w:type="pct"/>
            <w:tcBorders>
              <w:top w:val="single" w:sz="4" w:space="0" w:color="FFFFFF"/>
              <w:left w:val="single" w:sz="4" w:space="0" w:color="FFFFFF"/>
              <w:bottom w:val="single" w:sz="4" w:space="0" w:color="FFFFFF"/>
              <w:right w:val="single" w:sz="4" w:space="0" w:color="FFFFFF"/>
            </w:tcBorders>
            <w:shd w:val="clear" w:color="auto" w:fill="296DC1"/>
            <w:tcMar>
              <w:top w:w="0" w:type="dxa"/>
              <w:left w:w="69" w:type="dxa"/>
              <w:bottom w:w="0" w:type="dxa"/>
              <w:right w:w="69" w:type="dxa"/>
            </w:tcMar>
            <w:hideMark/>
          </w:tcPr>
          <w:p w14:paraId="65D78FAA" w14:textId="77777777" w:rsidR="002C6D14" w:rsidRPr="00DF7ED9" w:rsidRDefault="00C24AAF">
            <w:pPr>
              <w:spacing w:before="66" w:after="66" w:line="210" w:lineRule="atLeast"/>
              <w:ind w:left="-32"/>
              <w:jc w:val="center"/>
              <w:rPr>
                <w:color w:val="000000"/>
                <w:sz w:val="16"/>
                <w:szCs w:val="16"/>
              </w:rPr>
            </w:pPr>
            <w:r w:rsidRPr="00DF7ED9">
              <w:rPr>
                <w:rFonts w:ascii="Arial" w:eastAsia="Arial" w:hAnsi="Arial" w:cs="Arial"/>
                <w:b/>
                <w:bCs/>
                <w:color w:val="FFFFFF"/>
                <w:sz w:val="16"/>
                <w:szCs w:val="16"/>
              </w:rPr>
              <w:t>Observation Dates</w:t>
            </w:r>
          </w:p>
        </w:tc>
        <w:tc>
          <w:tcPr>
            <w:tcW w:w="2119" w:type="pct"/>
            <w:tcBorders>
              <w:top w:val="single" w:sz="4" w:space="0" w:color="FFFFFF"/>
              <w:left w:val="single" w:sz="4" w:space="0" w:color="FFFFFF"/>
              <w:bottom w:val="single" w:sz="4" w:space="0" w:color="FFFFFF"/>
              <w:right w:val="single" w:sz="4" w:space="0" w:color="FFFFFF"/>
            </w:tcBorders>
            <w:shd w:val="clear" w:color="auto" w:fill="296DC1"/>
            <w:tcMar>
              <w:top w:w="0" w:type="dxa"/>
              <w:left w:w="69" w:type="dxa"/>
              <w:bottom w:w="0" w:type="dxa"/>
              <w:right w:w="69" w:type="dxa"/>
            </w:tcMar>
            <w:hideMark/>
          </w:tcPr>
          <w:p w14:paraId="19AF4EEB" w14:textId="77777777" w:rsidR="002C6D14" w:rsidRPr="00DF7ED9" w:rsidRDefault="00C24AAF">
            <w:pPr>
              <w:spacing w:before="66" w:after="66" w:line="210" w:lineRule="atLeast"/>
              <w:ind w:left="-32"/>
              <w:jc w:val="center"/>
              <w:rPr>
                <w:color w:val="000000"/>
                <w:sz w:val="16"/>
                <w:szCs w:val="16"/>
              </w:rPr>
            </w:pPr>
            <w:r w:rsidRPr="00DF7ED9">
              <w:rPr>
                <w:rFonts w:ascii="Arial" w:eastAsia="Arial" w:hAnsi="Arial" w:cs="Arial"/>
                <w:b/>
                <w:bCs/>
                <w:color w:val="FFFFFF"/>
                <w:sz w:val="16"/>
                <w:szCs w:val="16"/>
              </w:rPr>
              <w:t>Coupon Payment Dates / Redemption Dates</w:t>
            </w:r>
          </w:p>
        </w:tc>
      </w:tr>
      <w:tr w:rsidR="00AD7A8D" w:rsidRPr="00A17087" w14:paraId="69B8F0AF" w14:textId="77777777" w:rsidTr="00E96D0C">
        <w:trPr>
          <w:cantSplit/>
          <w:tblCellSpacing w:w="0" w:type="dxa"/>
        </w:trPr>
        <w:tc>
          <w:tcPr>
            <w:tcW w:w="2881" w:type="pct"/>
            <w:shd w:val="clear" w:color="auto" w:fill="FFFFFF"/>
            <w:tcMar>
              <w:top w:w="0" w:type="dxa"/>
              <w:left w:w="64" w:type="dxa"/>
              <w:bottom w:w="0" w:type="dxa"/>
              <w:right w:w="64" w:type="dxa"/>
            </w:tcMar>
            <w:vAlign w:val="center"/>
            <w:hideMark/>
          </w:tcPr>
          <w:p w14:paraId="64B35229" w14:textId="11B2110F" w:rsidR="00AD7A8D" w:rsidRPr="006F4245" w:rsidRDefault="00A80421" w:rsidP="00AD7A8D">
            <w:pPr>
              <w:jc w:val="center"/>
              <w:rPr>
                <w:rFonts w:ascii="Arial" w:hAnsi="Arial" w:cs="Arial"/>
                <w:sz w:val="16"/>
                <w:szCs w:val="16"/>
              </w:rPr>
            </w:pPr>
            <w:r>
              <w:rPr>
                <w:rFonts w:ascii="Helvetica" w:eastAsia="Helvetica" w:hAnsi="Helvetica"/>
                <w:sz w:val="16"/>
              </w:rPr>
              <w:t>M</w:t>
            </w:r>
            <w:r w:rsidR="00DE6B5C">
              <w:rPr>
                <w:rFonts w:ascii="Helvetica" w:eastAsia="Helvetica" w:hAnsi="Helvetica"/>
                <w:sz w:val="16"/>
              </w:rPr>
              <w:t>a</w:t>
            </w:r>
            <w:r>
              <w:rPr>
                <w:rFonts w:ascii="Helvetica" w:eastAsia="Helvetica" w:hAnsi="Helvetica"/>
                <w:sz w:val="16"/>
              </w:rPr>
              <w:t>y 20, 2026</w:t>
            </w:r>
          </w:p>
        </w:tc>
        <w:tc>
          <w:tcPr>
            <w:tcW w:w="2119" w:type="pct"/>
            <w:shd w:val="clear" w:color="auto" w:fill="FFFFFF"/>
            <w:tcMar>
              <w:top w:w="0" w:type="dxa"/>
              <w:left w:w="64" w:type="dxa"/>
              <w:bottom w:w="0" w:type="dxa"/>
              <w:right w:w="64" w:type="dxa"/>
            </w:tcMar>
            <w:vAlign w:val="center"/>
            <w:hideMark/>
          </w:tcPr>
          <w:p w14:paraId="4E63E79A" w14:textId="17A12683" w:rsidR="00AD7A8D" w:rsidRPr="006F4245" w:rsidRDefault="00290387" w:rsidP="00AD7A8D">
            <w:pPr>
              <w:jc w:val="center"/>
              <w:rPr>
                <w:rFonts w:ascii="Arial" w:hAnsi="Arial" w:cs="Arial"/>
                <w:sz w:val="16"/>
                <w:szCs w:val="16"/>
              </w:rPr>
            </w:pPr>
            <w:r>
              <w:rPr>
                <w:rFonts w:ascii="Helvetica" w:eastAsia="Helvetica" w:hAnsi="Helvetica"/>
                <w:sz w:val="16"/>
              </w:rPr>
              <w:t>May 26, 2026</w:t>
            </w:r>
          </w:p>
        </w:tc>
      </w:tr>
      <w:tr w:rsidR="00AD7A8D" w:rsidRPr="00A17087" w14:paraId="05E97036" w14:textId="77777777" w:rsidTr="00E96D0C">
        <w:trPr>
          <w:cantSplit/>
          <w:tblCellSpacing w:w="0" w:type="dxa"/>
        </w:trPr>
        <w:tc>
          <w:tcPr>
            <w:tcW w:w="2881" w:type="pct"/>
            <w:shd w:val="clear" w:color="auto" w:fill="FFFFFF"/>
            <w:tcMar>
              <w:top w:w="0" w:type="dxa"/>
              <w:left w:w="64" w:type="dxa"/>
              <w:bottom w:w="0" w:type="dxa"/>
              <w:right w:w="64" w:type="dxa"/>
            </w:tcMar>
            <w:vAlign w:val="center"/>
            <w:hideMark/>
          </w:tcPr>
          <w:p w14:paraId="76F65F6F" w14:textId="1C354124" w:rsidR="00AD7A8D" w:rsidRPr="006F4245" w:rsidRDefault="00DE6B5C" w:rsidP="00AD7A8D">
            <w:pPr>
              <w:jc w:val="center"/>
              <w:rPr>
                <w:rFonts w:ascii="Arial" w:hAnsi="Arial" w:cs="Arial"/>
                <w:sz w:val="16"/>
                <w:szCs w:val="16"/>
              </w:rPr>
            </w:pPr>
            <w:r>
              <w:rPr>
                <w:rFonts w:ascii="Helvetica" w:eastAsia="Helvetica" w:hAnsi="Helvetica"/>
                <w:sz w:val="16"/>
              </w:rPr>
              <w:t>August 20</w:t>
            </w:r>
            <w:r w:rsidR="00AD7A8D">
              <w:rPr>
                <w:rFonts w:ascii="Helvetica" w:eastAsia="Helvetica" w:hAnsi="Helvetica"/>
                <w:sz w:val="16"/>
              </w:rPr>
              <w:t>, 2026</w:t>
            </w:r>
          </w:p>
        </w:tc>
        <w:tc>
          <w:tcPr>
            <w:tcW w:w="2119" w:type="pct"/>
            <w:shd w:val="clear" w:color="auto" w:fill="FFFFFF"/>
            <w:tcMar>
              <w:top w:w="0" w:type="dxa"/>
              <w:left w:w="64" w:type="dxa"/>
              <w:bottom w:w="0" w:type="dxa"/>
              <w:right w:w="64" w:type="dxa"/>
            </w:tcMar>
            <w:vAlign w:val="center"/>
            <w:hideMark/>
          </w:tcPr>
          <w:p w14:paraId="64B81ACF" w14:textId="611E61DA" w:rsidR="00AD7A8D" w:rsidRPr="006F4245" w:rsidRDefault="008341E9" w:rsidP="00AD7A8D">
            <w:pPr>
              <w:jc w:val="center"/>
              <w:rPr>
                <w:rFonts w:ascii="Arial" w:hAnsi="Arial" w:cs="Arial"/>
                <w:sz w:val="16"/>
                <w:szCs w:val="16"/>
              </w:rPr>
            </w:pPr>
            <w:r w:rsidRPr="008341E9">
              <w:rPr>
                <w:rFonts w:ascii="Helvetica" w:eastAsia="Helvetica" w:hAnsi="Helvetica"/>
                <w:sz w:val="16"/>
              </w:rPr>
              <w:t xml:space="preserve">August </w:t>
            </w:r>
            <w:r w:rsidR="00DE6B5C">
              <w:rPr>
                <w:rFonts w:ascii="Helvetica" w:eastAsia="Helvetica" w:hAnsi="Helvetica"/>
                <w:sz w:val="16"/>
              </w:rPr>
              <w:t>25</w:t>
            </w:r>
            <w:r w:rsidRPr="008341E9">
              <w:rPr>
                <w:rFonts w:ascii="Helvetica" w:eastAsia="Helvetica" w:hAnsi="Helvetica"/>
                <w:sz w:val="16"/>
              </w:rPr>
              <w:t>, 2026</w:t>
            </w:r>
          </w:p>
        </w:tc>
      </w:tr>
      <w:tr w:rsidR="00AD7A8D" w:rsidRPr="00A17087" w14:paraId="5A4BF525" w14:textId="77777777" w:rsidTr="00E96D0C">
        <w:trPr>
          <w:cantSplit/>
          <w:tblCellSpacing w:w="0" w:type="dxa"/>
        </w:trPr>
        <w:tc>
          <w:tcPr>
            <w:tcW w:w="2881" w:type="pct"/>
            <w:shd w:val="clear" w:color="auto" w:fill="FFFFFF"/>
            <w:tcMar>
              <w:top w:w="0" w:type="dxa"/>
              <w:left w:w="64" w:type="dxa"/>
              <w:bottom w:w="0" w:type="dxa"/>
              <w:right w:w="64" w:type="dxa"/>
            </w:tcMar>
            <w:vAlign w:val="center"/>
            <w:hideMark/>
          </w:tcPr>
          <w:p w14:paraId="67828881" w14:textId="41E44C10" w:rsidR="00AD7A8D" w:rsidRPr="006F4245" w:rsidRDefault="00DE6B5C" w:rsidP="00AD7A8D">
            <w:pPr>
              <w:jc w:val="center"/>
              <w:rPr>
                <w:rFonts w:ascii="Arial" w:hAnsi="Arial" w:cs="Arial"/>
                <w:sz w:val="16"/>
                <w:szCs w:val="16"/>
              </w:rPr>
            </w:pPr>
            <w:r>
              <w:rPr>
                <w:rFonts w:ascii="Helvetica" w:eastAsia="Helvetica" w:hAnsi="Helvetica"/>
                <w:sz w:val="16"/>
              </w:rPr>
              <w:t>November 20</w:t>
            </w:r>
            <w:r w:rsidR="00AD7A8D">
              <w:rPr>
                <w:rFonts w:ascii="Helvetica" w:eastAsia="Helvetica" w:hAnsi="Helvetica"/>
                <w:sz w:val="16"/>
              </w:rPr>
              <w:t>, 2026</w:t>
            </w:r>
          </w:p>
        </w:tc>
        <w:tc>
          <w:tcPr>
            <w:tcW w:w="2119" w:type="pct"/>
            <w:shd w:val="clear" w:color="auto" w:fill="FFFFFF"/>
            <w:tcMar>
              <w:top w:w="0" w:type="dxa"/>
              <w:left w:w="64" w:type="dxa"/>
              <w:bottom w:w="0" w:type="dxa"/>
              <w:right w:w="64" w:type="dxa"/>
            </w:tcMar>
            <w:vAlign w:val="center"/>
            <w:hideMark/>
          </w:tcPr>
          <w:p w14:paraId="15BBA23F" w14:textId="5A36C88F" w:rsidR="00AD7A8D" w:rsidRPr="006F4245" w:rsidRDefault="008341E9" w:rsidP="00AD7A8D">
            <w:pPr>
              <w:jc w:val="center"/>
              <w:rPr>
                <w:rFonts w:ascii="Arial" w:hAnsi="Arial" w:cs="Arial"/>
                <w:sz w:val="16"/>
                <w:szCs w:val="16"/>
              </w:rPr>
            </w:pPr>
            <w:r w:rsidRPr="008341E9">
              <w:rPr>
                <w:rFonts w:ascii="Helvetica" w:eastAsia="Helvetica" w:hAnsi="Helvetica"/>
                <w:sz w:val="16"/>
              </w:rPr>
              <w:t xml:space="preserve">November </w:t>
            </w:r>
            <w:r w:rsidR="00DE6B5C">
              <w:rPr>
                <w:rFonts w:ascii="Helvetica" w:eastAsia="Helvetica" w:hAnsi="Helvetica"/>
                <w:sz w:val="16"/>
              </w:rPr>
              <w:t>25</w:t>
            </w:r>
            <w:r w:rsidRPr="008341E9">
              <w:rPr>
                <w:rFonts w:ascii="Helvetica" w:eastAsia="Helvetica" w:hAnsi="Helvetica"/>
                <w:sz w:val="16"/>
              </w:rPr>
              <w:t>, 2026</w:t>
            </w:r>
          </w:p>
        </w:tc>
      </w:tr>
      <w:tr w:rsidR="00AD7A8D" w:rsidRPr="00A17087" w14:paraId="655E5279" w14:textId="77777777" w:rsidTr="00E96D0C">
        <w:trPr>
          <w:cantSplit/>
          <w:tblCellSpacing w:w="0" w:type="dxa"/>
        </w:trPr>
        <w:tc>
          <w:tcPr>
            <w:tcW w:w="2881" w:type="pct"/>
            <w:shd w:val="clear" w:color="auto" w:fill="FFFFFF"/>
            <w:tcMar>
              <w:top w:w="0" w:type="dxa"/>
              <w:left w:w="64" w:type="dxa"/>
              <w:bottom w:w="0" w:type="dxa"/>
              <w:right w:w="64" w:type="dxa"/>
            </w:tcMar>
            <w:vAlign w:val="center"/>
            <w:hideMark/>
          </w:tcPr>
          <w:p w14:paraId="2F08775E" w14:textId="32E75636" w:rsidR="00AD7A8D" w:rsidRPr="006F4245" w:rsidRDefault="008341E9" w:rsidP="00AD7A8D">
            <w:pPr>
              <w:jc w:val="center"/>
              <w:rPr>
                <w:rFonts w:ascii="Arial" w:hAnsi="Arial" w:cs="Arial"/>
                <w:sz w:val="16"/>
                <w:szCs w:val="16"/>
              </w:rPr>
            </w:pPr>
            <w:r w:rsidRPr="008341E9">
              <w:rPr>
                <w:rFonts w:ascii="Helvetica" w:eastAsia="Helvetica" w:hAnsi="Helvetica"/>
                <w:sz w:val="16"/>
              </w:rPr>
              <w:t xml:space="preserve">February </w:t>
            </w:r>
            <w:r w:rsidR="00DE6B5C">
              <w:rPr>
                <w:rFonts w:ascii="Helvetica" w:eastAsia="Helvetica" w:hAnsi="Helvetica"/>
                <w:sz w:val="16"/>
              </w:rPr>
              <w:t>22</w:t>
            </w:r>
            <w:r w:rsidRPr="008341E9">
              <w:rPr>
                <w:rFonts w:ascii="Helvetica" w:eastAsia="Helvetica" w:hAnsi="Helvetica"/>
                <w:sz w:val="16"/>
              </w:rPr>
              <w:t>, 2027</w:t>
            </w:r>
          </w:p>
        </w:tc>
        <w:tc>
          <w:tcPr>
            <w:tcW w:w="2119" w:type="pct"/>
            <w:shd w:val="clear" w:color="auto" w:fill="FFFFFF"/>
            <w:tcMar>
              <w:top w:w="0" w:type="dxa"/>
              <w:left w:w="64" w:type="dxa"/>
              <w:bottom w:w="0" w:type="dxa"/>
              <w:right w:w="64" w:type="dxa"/>
            </w:tcMar>
            <w:vAlign w:val="center"/>
            <w:hideMark/>
          </w:tcPr>
          <w:p w14:paraId="72D80C57" w14:textId="4A2C7B7A" w:rsidR="00AD7A8D" w:rsidRPr="006F4245" w:rsidRDefault="008341E9" w:rsidP="00AD7A8D">
            <w:pPr>
              <w:jc w:val="center"/>
              <w:rPr>
                <w:rFonts w:ascii="Arial" w:hAnsi="Arial" w:cs="Arial"/>
                <w:sz w:val="16"/>
                <w:szCs w:val="16"/>
              </w:rPr>
            </w:pPr>
            <w:r w:rsidRPr="008341E9">
              <w:rPr>
                <w:rFonts w:ascii="Helvetica" w:eastAsia="Helvetica" w:hAnsi="Helvetica"/>
                <w:sz w:val="16"/>
              </w:rPr>
              <w:t xml:space="preserve">February </w:t>
            </w:r>
            <w:r w:rsidR="00DE6B5C">
              <w:rPr>
                <w:rFonts w:ascii="Helvetica" w:eastAsia="Helvetica" w:hAnsi="Helvetica"/>
                <w:sz w:val="16"/>
              </w:rPr>
              <w:t>25</w:t>
            </w:r>
            <w:r w:rsidRPr="008341E9">
              <w:rPr>
                <w:rFonts w:ascii="Helvetica" w:eastAsia="Helvetica" w:hAnsi="Helvetica"/>
                <w:sz w:val="16"/>
              </w:rPr>
              <w:t>, 2027</w:t>
            </w:r>
          </w:p>
        </w:tc>
      </w:tr>
      <w:tr w:rsidR="00AD7A8D" w:rsidRPr="00A17087" w14:paraId="49898638" w14:textId="77777777" w:rsidTr="00E96D0C">
        <w:trPr>
          <w:cantSplit/>
          <w:tblCellSpacing w:w="0" w:type="dxa"/>
        </w:trPr>
        <w:tc>
          <w:tcPr>
            <w:tcW w:w="2881" w:type="pct"/>
            <w:shd w:val="clear" w:color="auto" w:fill="FFFFFF"/>
            <w:tcMar>
              <w:top w:w="0" w:type="dxa"/>
              <w:left w:w="64" w:type="dxa"/>
              <w:bottom w:w="0" w:type="dxa"/>
              <w:right w:w="64" w:type="dxa"/>
            </w:tcMar>
            <w:vAlign w:val="center"/>
            <w:hideMark/>
          </w:tcPr>
          <w:p w14:paraId="6E8EE94F" w14:textId="516F0645" w:rsidR="00AD7A8D" w:rsidRPr="006F4245" w:rsidRDefault="00DE6B5C" w:rsidP="00AD7A8D">
            <w:pPr>
              <w:jc w:val="center"/>
              <w:rPr>
                <w:rFonts w:ascii="Arial" w:hAnsi="Arial" w:cs="Arial"/>
                <w:sz w:val="16"/>
                <w:szCs w:val="16"/>
              </w:rPr>
            </w:pPr>
            <w:r>
              <w:rPr>
                <w:rFonts w:ascii="Helvetica" w:eastAsia="Helvetica" w:hAnsi="Helvetica"/>
                <w:sz w:val="16"/>
              </w:rPr>
              <w:t>May 20</w:t>
            </w:r>
            <w:r w:rsidR="00AD7A8D">
              <w:rPr>
                <w:rFonts w:ascii="Helvetica" w:eastAsia="Helvetica" w:hAnsi="Helvetica"/>
                <w:sz w:val="16"/>
              </w:rPr>
              <w:t>, 2027</w:t>
            </w:r>
          </w:p>
        </w:tc>
        <w:tc>
          <w:tcPr>
            <w:tcW w:w="2119" w:type="pct"/>
            <w:shd w:val="clear" w:color="auto" w:fill="FFFFFF"/>
            <w:tcMar>
              <w:top w:w="0" w:type="dxa"/>
              <w:left w:w="64" w:type="dxa"/>
              <w:bottom w:w="0" w:type="dxa"/>
              <w:right w:w="64" w:type="dxa"/>
            </w:tcMar>
            <w:vAlign w:val="center"/>
            <w:hideMark/>
          </w:tcPr>
          <w:p w14:paraId="7B99777A" w14:textId="0F0CAC40" w:rsidR="00AD7A8D" w:rsidRPr="006F4245" w:rsidRDefault="008341E9" w:rsidP="00AD7A8D">
            <w:pPr>
              <w:jc w:val="center"/>
              <w:rPr>
                <w:rFonts w:ascii="Arial" w:hAnsi="Arial" w:cs="Arial"/>
                <w:sz w:val="16"/>
                <w:szCs w:val="16"/>
              </w:rPr>
            </w:pPr>
            <w:r w:rsidRPr="008341E9">
              <w:rPr>
                <w:rFonts w:ascii="Helvetica" w:eastAsia="Helvetica" w:hAnsi="Helvetica"/>
                <w:sz w:val="16"/>
              </w:rPr>
              <w:t xml:space="preserve">May </w:t>
            </w:r>
            <w:r w:rsidR="00DE6B5C">
              <w:rPr>
                <w:rFonts w:ascii="Helvetica" w:eastAsia="Helvetica" w:hAnsi="Helvetica"/>
                <w:sz w:val="16"/>
              </w:rPr>
              <w:t>25</w:t>
            </w:r>
            <w:r w:rsidRPr="008341E9">
              <w:rPr>
                <w:rFonts w:ascii="Helvetica" w:eastAsia="Helvetica" w:hAnsi="Helvetica"/>
                <w:sz w:val="16"/>
              </w:rPr>
              <w:t>, 2027</w:t>
            </w:r>
          </w:p>
        </w:tc>
      </w:tr>
      <w:tr w:rsidR="00AD7A8D" w:rsidRPr="00A17087" w14:paraId="49112E68" w14:textId="77777777" w:rsidTr="00E96D0C">
        <w:trPr>
          <w:cantSplit/>
          <w:tblCellSpacing w:w="0" w:type="dxa"/>
        </w:trPr>
        <w:tc>
          <w:tcPr>
            <w:tcW w:w="2881" w:type="pct"/>
            <w:shd w:val="clear" w:color="auto" w:fill="FFFFFF"/>
            <w:tcMar>
              <w:top w:w="0" w:type="dxa"/>
              <w:left w:w="64" w:type="dxa"/>
              <w:bottom w:w="0" w:type="dxa"/>
              <w:right w:w="64" w:type="dxa"/>
            </w:tcMar>
            <w:vAlign w:val="center"/>
            <w:hideMark/>
          </w:tcPr>
          <w:p w14:paraId="3BEEF8C5" w14:textId="1B410AA3" w:rsidR="00AD7A8D" w:rsidRPr="006F4245" w:rsidRDefault="00DE6B5C" w:rsidP="00AD7A8D">
            <w:pPr>
              <w:jc w:val="center"/>
              <w:rPr>
                <w:rFonts w:ascii="Arial" w:hAnsi="Arial" w:cs="Arial"/>
                <w:sz w:val="16"/>
                <w:szCs w:val="16"/>
              </w:rPr>
            </w:pPr>
            <w:r>
              <w:rPr>
                <w:rFonts w:ascii="Helvetica" w:eastAsia="Helvetica" w:hAnsi="Helvetica"/>
                <w:sz w:val="16"/>
              </w:rPr>
              <w:t>August 20</w:t>
            </w:r>
            <w:r w:rsidR="00AD7A8D">
              <w:rPr>
                <w:rFonts w:ascii="Helvetica" w:eastAsia="Helvetica" w:hAnsi="Helvetica"/>
                <w:sz w:val="16"/>
              </w:rPr>
              <w:t>, 2027</w:t>
            </w:r>
          </w:p>
        </w:tc>
        <w:tc>
          <w:tcPr>
            <w:tcW w:w="2119" w:type="pct"/>
            <w:shd w:val="clear" w:color="auto" w:fill="FFFFFF"/>
            <w:tcMar>
              <w:top w:w="0" w:type="dxa"/>
              <w:left w:w="64" w:type="dxa"/>
              <w:bottom w:w="0" w:type="dxa"/>
              <w:right w:w="64" w:type="dxa"/>
            </w:tcMar>
            <w:vAlign w:val="center"/>
            <w:hideMark/>
          </w:tcPr>
          <w:p w14:paraId="59CA8305" w14:textId="600C1C71" w:rsidR="00AD7A8D" w:rsidRPr="006F4245" w:rsidRDefault="008341E9" w:rsidP="00AD7A8D">
            <w:pPr>
              <w:jc w:val="center"/>
              <w:rPr>
                <w:rFonts w:ascii="Arial" w:hAnsi="Arial" w:cs="Arial"/>
                <w:sz w:val="16"/>
                <w:szCs w:val="16"/>
              </w:rPr>
            </w:pPr>
            <w:r w:rsidRPr="008341E9">
              <w:rPr>
                <w:rFonts w:ascii="Helvetica" w:eastAsia="Helvetica" w:hAnsi="Helvetica"/>
                <w:sz w:val="16"/>
              </w:rPr>
              <w:t xml:space="preserve">August </w:t>
            </w:r>
            <w:r w:rsidR="00DE6B5C">
              <w:rPr>
                <w:rFonts w:ascii="Helvetica" w:eastAsia="Helvetica" w:hAnsi="Helvetica"/>
                <w:sz w:val="16"/>
              </w:rPr>
              <w:t>25</w:t>
            </w:r>
            <w:r w:rsidRPr="008341E9">
              <w:rPr>
                <w:rFonts w:ascii="Helvetica" w:eastAsia="Helvetica" w:hAnsi="Helvetica"/>
                <w:sz w:val="16"/>
              </w:rPr>
              <w:t>, 2027</w:t>
            </w:r>
          </w:p>
        </w:tc>
      </w:tr>
      <w:tr w:rsidR="00AD7A8D" w:rsidRPr="00A17087" w14:paraId="490D08CC" w14:textId="77777777" w:rsidTr="00E96D0C">
        <w:trPr>
          <w:cantSplit/>
          <w:tblCellSpacing w:w="0" w:type="dxa"/>
        </w:trPr>
        <w:tc>
          <w:tcPr>
            <w:tcW w:w="2881" w:type="pct"/>
            <w:shd w:val="clear" w:color="auto" w:fill="FFFFFF"/>
            <w:tcMar>
              <w:top w:w="0" w:type="dxa"/>
              <w:left w:w="64" w:type="dxa"/>
              <w:bottom w:w="0" w:type="dxa"/>
              <w:right w:w="64" w:type="dxa"/>
            </w:tcMar>
            <w:vAlign w:val="center"/>
            <w:hideMark/>
          </w:tcPr>
          <w:p w14:paraId="332E3295" w14:textId="5297C8D6" w:rsidR="00AD7A8D" w:rsidRPr="006F4245" w:rsidRDefault="008341E9" w:rsidP="00AD7A8D">
            <w:pPr>
              <w:jc w:val="center"/>
              <w:rPr>
                <w:rFonts w:ascii="Arial" w:hAnsi="Arial" w:cs="Arial"/>
                <w:sz w:val="16"/>
                <w:szCs w:val="16"/>
              </w:rPr>
            </w:pPr>
            <w:r w:rsidRPr="008341E9">
              <w:rPr>
                <w:rFonts w:ascii="Helvetica" w:eastAsia="Helvetica" w:hAnsi="Helvetica"/>
                <w:sz w:val="16"/>
              </w:rPr>
              <w:t xml:space="preserve">November </w:t>
            </w:r>
            <w:r w:rsidR="00DE6B5C">
              <w:rPr>
                <w:rFonts w:ascii="Helvetica" w:eastAsia="Helvetica" w:hAnsi="Helvetica"/>
                <w:sz w:val="16"/>
              </w:rPr>
              <w:t>22</w:t>
            </w:r>
            <w:r w:rsidRPr="008341E9">
              <w:rPr>
                <w:rFonts w:ascii="Helvetica" w:eastAsia="Helvetica" w:hAnsi="Helvetica"/>
                <w:sz w:val="16"/>
              </w:rPr>
              <w:t>, 2027</w:t>
            </w:r>
          </w:p>
        </w:tc>
        <w:tc>
          <w:tcPr>
            <w:tcW w:w="2119" w:type="pct"/>
            <w:shd w:val="clear" w:color="auto" w:fill="FFFFFF"/>
            <w:tcMar>
              <w:top w:w="0" w:type="dxa"/>
              <w:left w:w="64" w:type="dxa"/>
              <w:bottom w:w="0" w:type="dxa"/>
              <w:right w:w="64" w:type="dxa"/>
            </w:tcMar>
            <w:vAlign w:val="center"/>
            <w:hideMark/>
          </w:tcPr>
          <w:p w14:paraId="0E576010" w14:textId="7EB0DE82" w:rsidR="00AD7A8D" w:rsidRPr="006F4245" w:rsidRDefault="008341E9" w:rsidP="00AD7A8D">
            <w:pPr>
              <w:jc w:val="center"/>
              <w:rPr>
                <w:rFonts w:ascii="Arial" w:hAnsi="Arial" w:cs="Arial"/>
                <w:sz w:val="16"/>
                <w:szCs w:val="16"/>
              </w:rPr>
            </w:pPr>
            <w:r w:rsidRPr="008341E9">
              <w:rPr>
                <w:rFonts w:ascii="Helvetica" w:eastAsia="Helvetica" w:hAnsi="Helvetica"/>
                <w:sz w:val="16"/>
              </w:rPr>
              <w:t xml:space="preserve">November </w:t>
            </w:r>
            <w:r w:rsidR="00DE6B5C">
              <w:rPr>
                <w:rFonts w:ascii="Helvetica" w:eastAsia="Helvetica" w:hAnsi="Helvetica"/>
                <w:sz w:val="16"/>
              </w:rPr>
              <w:t>26</w:t>
            </w:r>
            <w:r w:rsidRPr="008341E9">
              <w:rPr>
                <w:rFonts w:ascii="Helvetica" w:eastAsia="Helvetica" w:hAnsi="Helvetica"/>
                <w:sz w:val="16"/>
              </w:rPr>
              <w:t>, 2027</w:t>
            </w:r>
          </w:p>
        </w:tc>
      </w:tr>
      <w:tr w:rsidR="00BD53EC" w:rsidRPr="00A17087" w14:paraId="00E2C406" w14:textId="77777777" w:rsidTr="007504BD">
        <w:trPr>
          <w:cantSplit/>
          <w:tblCellSpacing w:w="0" w:type="dxa"/>
        </w:trPr>
        <w:tc>
          <w:tcPr>
            <w:tcW w:w="2881" w:type="pct"/>
            <w:shd w:val="clear" w:color="auto" w:fill="FFFFFF"/>
            <w:tcMar>
              <w:top w:w="0" w:type="dxa"/>
              <w:left w:w="64" w:type="dxa"/>
              <w:bottom w:w="0" w:type="dxa"/>
              <w:right w:w="64" w:type="dxa"/>
            </w:tcMar>
            <w:vAlign w:val="bottom"/>
            <w:hideMark/>
          </w:tcPr>
          <w:p w14:paraId="141762CA" w14:textId="47F36CBA" w:rsidR="002C6D14" w:rsidRPr="00EE3596" w:rsidRDefault="00DE6B5C">
            <w:pPr>
              <w:jc w:val="center"/>
              <w:rPr>
                <w:rFonts w:ascii="Arial" w:hAnsi="Arial" w:cs="Arial"/>
                <w:color w:val="000000"/>
                <w:sz w:val="16"/>
                <w:szCs w:val="16"/>
              </w:rPr>
            </w:pPr>
            <w:r>
              <w:rPr>
                <w:rFonts w:ascii="Arial" w:eastAsia="Arial" w:hAnsi="Arial" w:cs="Arial"/>
                <w:color w:val="000000"/>
                <w:sz w:val="16"/>
                <w:szCs w:val="16"/>
              </w:rPr>
              <w:t>February 22, 2028</w:t>
            </w:r>
            <w:r w:rsidR="00EE3596" w:rsidRPr="00EE3596">
              <w:rPr>
                <w:rFonts w:ascii="Arial" w:eastAsia="Arial" w:hAnsi="Arial" w:cs="Arial"/>
                <w:color w:val="000000"/>
                <w:sz w:val="16"/>
                <w:szCs w:val="16"/>
              </w:rPr>
              <w:t xml:space="preserve"> </w:t>
            </w:r>
            <w:r w:rsidR="00C24AAF" w:rsidRPr="00EE3596">
              <w:rPr>
                <w:rFonts w:ascii="Arial" w:eastAsia="Arial" w:hAnsi="Arial" w:cs="Arial"/>
                <w:color w:val="000000"/>
                <w:sz w:val="16"/>
                <w:szCs w:val="16"/>
              </w:rPr>
              <w:t>(final observation date)</w:t>
            </w:r>
          </w:p>
        </w:tc>
        <w:tc>
          <w:tcPr>
            <w:tcW w:w="2119" w:type="pct"/>
            <w:shd w:val="clear" w:color="auto" w:fill="FFFFFF"/>
            <w:tcMar>
              <w:top w:w="0" w:type="dxa"/>
              <w:left w:w="64" w:type="dxa"/>
              <w:bottom w:w="0" w:type="dxa"/>
              <w:right w:w="64" w:type="dxa"/>
            </w:tcMar>
            <w:vAlign w:val="bottom"/>
            <w:hideMark/>
          </w:tcPr>
          <w:p w14:paraId="60358957" w14:textId="6C64A7BF" w:rsidR="002C6D14" w:rsidRPr="00EE3596" w:rsidRDefault="00290387">
            <w:pPr>
              <w:jc w:val="center"/>
              <w:rPr>
                <w:rFonts w:ascii="Arial" w:hAnsi="Arial" w:cs="Arial"/>
                <w:color w:val="000000"/>
                <w:sz w:val="16"/>
                <w:szCs w:val="16"/>
              </w:rPr>
            </w:pPr>
            <w:r>
              <w:rPr>
                <w:rFonts w:ascii="Arial" w:eastAsia="Arial" w:hAnsi="Arial" w:cs="Arial"/>
                <w:color w:val="000000"/>
                <w:sz w:val="16"/>
                <w:szCs w:val="16"/>
              </w:rPr>
              <w:t>February 25, 2028</w:t>
            </w:r>
            <w:r w:rsidR="0039446D" w:rsidRPr="00EE3596">
              <w:rPr>
                <w:rFonts w:ascii="Arial" w:eastAsia="Arial" w:hAnsi="Arial" w:cs="Arial"/>
                <w:color w:val="000000"/>
                <w:sz w:val="16"/>
                <w:szCs w:val="16"/>
              </w:rPr>
              <w:t>*</w:t>
            </w:r>
            <w:r w:rsidR="00C24AAF" w:rsidRPr="00EE3596">
              <w:rPr>
                <w:rFonts w:ascii="Arial" w:eastAsia="Arial" w:hAnsi="Arial" w:cs="Arial"/>
                <w:color w:val="000000"/>
                <w:sz w:val="16"/>
                <w:szCs w:val="16"/>
              </w:rPr>
              <w:t xml:space="preserve"> (maturity date)</w:t>
            </w:r>
          </w:p>
        </w:tc>
      </w:tr>
    </w:tbl>
    <w:p w14:paraId="1686BF7F" w14:textId="77777777" w:rsidR="002C6D14" w:rsidRPr="00A17087" w:rsidRDefault="00C24AAF">
      <w:pPr>
        <w:ind w:left="-990" w:right="792"/>
        <w:rPr>
          <w:rFonts w:ascii="Arial" w:hAnsi="Arial" w:cs="Arial"/>
          <w:sz w:val="16"/>
          <w:szCs w:val="16"/>
        </w:rPr>
      </w:pPr>
      <w:r w:rsidRPr="00A17087">
        <w:rPr>
          <w:rFonts w:ascii="Arial" w:hAnsi="Arial" w:cs="Arial"/>
          <w:sz w:val="16"/>
          <w:szCs w:val="16"/>
        </w:rPr>
        <w:t> </w:t>
      </w:r>
    </w:p>
    <w:p w14:paraId="39A2B3F8" w14:textId="77777777" w:rsidR="0039446D" w:rsidRPr="00DF7ED9" w:rsidRDefault="0039446D" w:rsidP="0039446D">
      <w:pPr>
        <w:spacing w:before="240" w:after="240"/>
        <w:rPr>
          <w:rFonts w:ascii="Arial" w:hAnsi="Arial" w:cs="Arial"/>
          <w:sz w:val="16"/>
          <w:szCs w:val="16"/>
        </w:rPr>
      </w:pPr>
      <w:r w:rsidRPr="00DF7ED9">
        <w:rPr>
          <w:rFonts w:ascii="Arial" w:hAnsi="Arial" w:cs="Arial"/>
          <w:sz w:val="16"/>
          <w:szCs w:val="16"/>
        </w:rPr>
        <w:t>*Denotes that such date is not a “Redemption Date”</w:t>
      </w:r>
    </w:p>
    <w:p w14:paraId="7F3490B3" w14:textId="48AB02A3" w:rsidR="0039446D" w:rsidRPr="00DF7ED9" w:rsidRDefault="0039446D" w:rsidP="0039446D">
      <w:pPr>
        <w:spacing w:before="240" w:after="240"/>
        <w:jc w:val="center"/>
        <w:rPr>
          <w:rFonts w:ascii="Arial" w:hAnsi="Arial" w:cs="Arial"/>
          <w:i/>
          <w:iCs/>
          <w:sz w:val="16"/>
          <w:szCs w:val="16"/>
        </w:rPr>
        <w:sectPr w:rsidR="0039446D" w:rsidRPr="00DF7ED9" w:rsidSect="00371BFB">
          <w:headerReference w:type="default" r:id="rId12"/>
          <w:footerReference w:type="default" r:id="rId13"/>
          <w:pgSz w:w="12240" w:h="15840"/>
          <w:pgMar w:top="288" w:right="288" w:bottom="288" w:left="288" w:header="720" w:footer="720" w:gutter="0"/>
          <w:cols w:space="720"/>
          <w:docGrid w:linePitch="326"/>
        </w:sectPr>
      </w:pPr>
    </w:p>
    <w:p w14:paraId="0B5485AC" w14:textId="77777777" w:rsidR="002C6D14" w:rsidRPr="00DF7ED9" w:rsidRDefault="00C24AAF" w:rsidP="007504BD">
      <w:pPr>
        <w:ind w:right="54"/>
        <w:rPr>
          <w:sz w:val="28"/>
          <w:szCs w:val="28"/>
        </w:rPr>
      </w:pPr>
      <w:r w:rsidRPr="00DF7ED9">
        <w:rPr>
          <w:rFonts w:ascii="Arial" w:eastAsia="Arial" w:hAnsi="Arial" w:cs="Arial"/>
          <w:color w:val="296DC1"/>
          <w:sz w:val="28"/>
          <w:szCs w:val="28"/>
        </w:rPr>
        <w:lastRenderedPageBreak/>
        <w:t>Investment Summary</w:t>
      </w:r>
    </w:p>
    <w:p w14:paraId="4498DA65" w14:textId="77777777" w:rsidR="002C6D14" w:rsidRPr="00DF7ED9" w:rsidRDefault="00C24AAF" w:rsidP="007504BD">
      <w:pPr>
        <w:spacing w:before="44" w:line="260" w:lineRule="atLeast"/>
        <w:ind w:right="54"/>
      </w:pPr>
      <w:r w:rsidRPr="00DF7ED9">
        <w:rPr>
          <w:rFonts w:ascii="Arial" w:eastAsia="Arial" w:hAnsi="Arial" w:cs="Arial"/>
          <w:b/>
          <w:bCs/>
          <w:color w:val="296DC1"/>
          <w:sz w:val="21"/>
          <w:szCs w:val="21"/>
        </w:rPr>
        <w:t>Callable Contingent Income Securities</w:t>
      </w:r>
    </w:p>
    <w:p w14:paraId="36FF3666" w14:textId="77777777" w:rsidR="002C6D14" w:rsidRPr="00DF7ED9" w:rsidRDefault="00C24AAF" w:rsidP="007504BD">
      <w:pPr>
        <w:spacing w:line="200" w:lineRule="atLeast"/>
        <w:ind w:right="54"/>
      </w:pPr>
      <w:r w:rsidRPr="00DF7ED9">
        <w:rPr>
          <w:rFonts w:ascii="Arial" w:eastAsia="Arial" w:hAnsi="Arial" w:cs="Arial"/>
          <w:b/>
          <w:bCs/>
          <w:color w:val="A6A6A6"/>
          <w:sz w:val="16"/>
          <w:szCs w:val="16"/>
        </w:rPr>
        <w:t>Principal at Risk Securities</w:t>
      </w:r>
    </w:p>
    <w:p w14:paraId="77D6BB7F" w14:textId="60194DFF" w:rsidR="002C6D14" w:rsidRPr="00DF7ED9" w:rsidRDefault="00C24AAF" w:rsidP="004D5C3A">
      <w:pPr>
        <w:spacing w:before="66" w:after="132" w:line="200" w:lineRule="atLeast"/>
        <w:ind w:right="54"/>
        <w:rPr>
          <w:sz w:val="16"/>
          <w:szCs w:val="16"/>
        </w:rPr>
      </w:pPr>
      <w:r w:rsidRPr="00DF7ED9">
        <w:rPr>
          <w:rFonts w:ascii="Arial" w:eastAsia="Arial" w:hAnsi="Arial" w:cs="Arial"/>
          <w:color w:val="000000"/>
          <w:sz w:val="16"/>
          <w:szCs w:val="16"/>
        </w:rPr>
        <w:t xml:space="preserve">The Callable Contingent Income Securities due </w:t>
      </w:r>
      <w:r w:rsidR="00290387">
        <w:rPr>
          <w:rFonts w:ascii="Arial" w:eastAsia="Arial" w:hAnsi="Arial" w:cs="Arial"/>
          <w:color w:val="000000"/>
          <w:sz w:val="16"/>
          <w:szCs w:val="16"/>
        </w:rPr>
        <w:t>February 25, 2028</w:t>
      </w:r>
      <w:r w:rsidRPr="00DF7ED9">
        <w:rPr>
          <w:rFonts w:ascii="Arial" w:eastAsia="Arial" w:hAnsi="Arial" w:cs="Arial"/>
          <w:color w:val="000000"/>
          <w:sz w:val="16"/>
          <w:szCs w:val="16"/>
        </w:rPr>
        <w:t xml:space="preserve"> </w:t>
      </w:r>
      <w:r w:rsidR="007B7C5A" w:rsidRPr="00DF7ED9">
        <w:rPr>
          <w:rFonts w:ascii="Arial" w:eastAsia="Arial" w:hAnsi="Arial" w:cs="Arial"/>
          <w:color w:val="000000"/>
          <w:sz w:val="16"/>
          <w:szCs w:val="16"/>
        </w:rPr>
        <w:t xml:space="preserve">All Payments on the Securities </w:t>
      </w:r>
      <w:r w:rsidRPr="00DF7ED9">
        <w:rPr>
          <w:rFonts w:ascii="Arial" w:eastAsia="Arial" w:hAnsi="Arial" w:cs="Arial"/>
          <w:color w:val="000000"/>
          <w:sz w:val="16"/>
          <w:szCs w:val="16"/>
        </w:rPr>
        <w:t>Based on the Performance of the S&amp;P 500</w:t>
      </w:r>
      <w:r w:rsidRPr="00DF7ED9">
        <w:rPr>
          <w:rFonts w:ascii="Arial" w:eastAsia="Arial" w:hAnsi="Arial" w:cs="Arial"/>
          <w:color w:val="000000"/>
          <w:sz w:val="16"/>
          <w:szCs w:val="16"/>
          <w:vertAlign w:val="superscript"/>
        </w:rPr>
        <w:t>®</w:t>
      </w:r>
      <w:r w:rsidRPr="00DF7ED9">
        <w:rPr>
          <w:rFonts w:ascii="Arial" w:eastAsia="Arial" w:hAnsi="Arial" w:cs="Arial"/>
          <w:color w:val="000000"/>
          <w:sz w:val="16"/>
          <w:szCs w:val="16"/>
        </w:rPr>
        <w:t xml:space="preserve"> Index, which we refer to as the securities, provide an opportunity for investors to earn a contingent quarterly coupon </w:t>
      </w:r>
      <w:r w:rsidR="00C80983" w:rsidRPr="00DF7ED9">
        <w:rPr>
          <w:rFonts w:ascii="Arial" w:eastAsia="Arial" w:hAnsi="Arial" w:cs="Arial"/>
          <w:color w:val="000000"/>
          <w:sz w:val="16"/>
          <w:szCs w:val="16"/>
        </w:rPr>
        <w:t xml:space="preserve">of </w:t>
      </w:r>
      <w:r w:rsidR="00A80421">
        <w:rPr>
          <w:rFonts w:ascii="Arial" w:eastAsia="Arial" w:hAnsi="Arial" w:cs="Arial"/>
          <w:color w:val="000000"/>
          <w:sz w:val="16"/>
          <w:szCs w:val="16"/>
        </w:rPr>
        <w:t>$21.375</w:t>
      </w:r>
      <w:r w:rsidR="00B95586" w:rsidRPr="00DF7ED9">
        <w:rPr>
          <w:rFonts w:ascii="Arial" w:eastAsia="Arial" w:hAnsi="Arial" w:cs="Arial"/>
          <w:color w:val="000000"/>
          <w:sz w:val="16"/>
          <w:szCs w:val="16"/>
        </w:rPr>
        <w:t xml:space="preserve"> </w:t>
      </w:r>
      <w:r w:rsidR="0022047E" w:rsidRPr="00DF7ED9">
        <w:rPr>
          <w:rFonts w:ascii="Arial" w:eastAsia="Arial" w:hAnsi="Arial" w:cs="Arial"/>
          <w:color w:val="000000"/>
          <w:sz w:val="16"/>
          <w:szCs w:val="16"/>
        </w:rPr>
        <w:t>per</w:t>
      </w:r>
      <w:r w:rsidR="00CA382B" w:rsidRPr="00DF7ED9">
        <w:rPr>
          <w:rFonts w:ascii="Arial" w:eastAsia="Arial" w:hAnsi="Arial" w:cs="Arial"/>
          <w:color w:val="000000"/>
          <w:sz w:val="16"/>
          <w:szCs w:val="16"/>
        </w:rPr>
        <w:t xml:space="preserve"> security</w:t>
      </w:r>
      <w:r w:rsidR="00C80983" w:rsidRPr="00DF7ED9">
        <w:rPr>
          <w:rFonts w:ascii="Arial" w:eastAsia="Arial" w:hAnsi="Arial" w:cs="Arial"/>
          <w:color w:val="000000"/>
          <w:sz w:val="16"/>
          <w:szCs w:val="16"/>
        </w:rPr>
        <w:t xml:space="preserve"> (equal to a rate of </w:t>
      </w:r>
      <w:r w:rsidR="00A80421">
        <w:rPr>
          <w:rFonts w:ascii="Arial" w:eastAsia="Arial" w:hAnsi="Arial" w:cs="Arial"/>
          <w:color w:val="000000"/>
          <w:sz w:val="16"/>
          <w:szCs w:val="16"/>
        </w:rPr>
        <w:t>2.1375%</w:t>
      </w:r>
      <w:r w:rsidR="00C80983" w:rsidRPr="00DF7ED9">
        <w:rPr>
          <w:rFonts w:ascii="Arial" w:eastAsia="Arial" w:hAnsi="Arial" w:cs="Arial"/>
          <w:color w:val="000000"/>
          <w:sz w:val="16"/>
          <w:szCs w:val="16"/>
        </w:rPr>
        <w:t xml:space="preserve"> per quarter or</w:t>
      </w:r>
      <w:r w:rsidR="0044592A" w:rsidRPr="00DF7ED9">
        <w:rPr>
          <w:rFonts w:ascii="Arial" w:eastAsia="Arial" w:hAnsi="Arial" w:cs="Arial"/>
          <w:color w:val="000000"/>
          <w:sz w:val="16"/>
          <w:szCs w:val="16"/>
        </w:rPr>
        <w:t xml:space="preserve"> </w:t>
      </w:r>
      <w:r w:rsidR="00A80421">
        <w:rPr>
          <w:rFonts w:ascii="Arial" w:eastAsia="Arial" w:hAnsi="Arial" w:cs="Arial"/>
          <w:color w:val="000000"/>
          <w:sz w:val="16"/>
          <w:szCs w:val="16"/>
        </w:rPr>
        <w:t>8.55%</w:t>
      </w:r>
      <w:r w:rsidR="00C80983" w:rsidRPr="00DF7ED9">
        <w:rPr>
          <w:rFonts w:ascii="Arial" w:eastAsia="Arial" w:hAnsi="Arial" w:cs="Arial"/>
          <w:color w:val="000000"/>
          <w:sz w:val="16"/>
          <w:szCs w:val="16"/>
        </w:rPr>
        <w:t xml:space="preserve"> per annum)</w:t>
      </w:r>
      <w:r w:rsidRPr="00DF7ED9">
        <w:rPr>
          <w:rFonts w:ascii="Arial" w:eastAsia="Arial" w:hAnsi="Arial" w:cs="Arial"/>
          <w:color w:val="000000"/>
          <w:sz w:val="16"/>
          <w:szCs w:val="16"/>
        </w:rPr>
        <w:t> </w:t>
      </w:r>
      <w:r w:rsidRPr="00DF7ED9">
        <w:rPr>
          <w:rFonts w:ascii="Arial" w:eastAsia="Arial" w:hAnsi="Arial" w:cs="Arial"/>
          <w:b/>
          <w:bCs/>
          <w:color w:val="000000"/>
          <w:sz w:val="16"/>
          <w:szCs w:val="16"/>
        </w:rPr>
        <w:t>but only if</w:t>
      </w:r>
      <w:r w:rsidRPr="00DF7ED9">
        <w:rPr>
          <w:rFonts w:ascii="Arial" w:eastAsia="Arial" w:hAnsi="Arial" w:cs="Arial"/>
          <w:color w:val="000000"/>
          <w:sz w:val="16"/>
          <w:szCs w:val="16"/>
        </w:rPr>
        <w:t xml:space="preserve"> the </w:t>
      </w:r>
      <w:r w:rsidR="004B51F0" w:rsidRPr="00DF7ED9">
        <w:rPr>
          <w:rFonts w:ascii="Arial" w:eastAsia="Arial" w:hAnsi="Arial" w:cs="Arial"/>
          <w:color w:val="000000"/>
          <w:sz w:val="16"/>
          <w:szCs w:val="16"/>
        </w:rPr>
        <w:t>index closing value</w:t>
      </w:r>
      <w:r w:rsidRPr="00DF7ED9">
        <w:rPr>
          <w:rFonts w:ascii="Arial" w:eastAsia="Arial" w:hAnsi="Arial" w:cs="Arial"/>
          <w:color w:val="000000"/>
          <w:sz w:val="16"/>
          <w:szCs w:val="16"/>
        </w:rPr>
        <w:t xml:space="preserve"> of the </w:t>
      </w:r>
      <w:r w:rsidR="004B51F0" w:rsidRPr="00DF7ED9">
        <w:rPr>
          <w:rFonts w:ascii="Arial" w:eastAsia="Arial" w:hAnsi="Arial" w:cs="Arial"/>
          <w:color w:val="000000"/>
          <w:sz w:val="16"/>
          <w:szCs w:val="16"/>
        </w:rPr>
        <w:t>underlying index</w:t>
      </w:r>
      <w:r w:rsidRPr="00DF7ED9">
        <w:rPr>
          <w:rFonts w:ascii="Arial" w:eastAsia="Arial" w:hAnsi="Arial" w:cs="Arial"/>
          <w:color w:val="000000"/>
          <w:sz w:val="16"/>
          <w:szCs w:val="16"/>
        </w:rPr>
        <w:t xml:space="preserve"> on the applicable quarterly observation date is greater than or equal to </w:t>
      </w:r>
      <w:r w:rsidR="00B66851" w:rsidRPr="00DF7ED9">
        <w:rPr>
          <w:rFonts w:ascii="Arial" w:eastAsia="Arial" w:hAnsi="Arial" w:cs="Arial"/>
          <w:color w:val="000000"/>
          <w:sz w:val="16"/>
          <w:szCs w:val="16"/>
        </w:rPr>
        <w:t>80</w:t>
      </w:r>
      <w:r w:rsidR="00D56F33" w:rsidRPr="00DF7ED9">
        <w:rPr>
          <w:rFonts w:ascii="Arial" w:eastAsia="Arial" w:hAnsi="Arial" w:cs="Arial"/>
          <w:color w:val="000000"/>
          <w:sz w:val="16"/>
          <w:szCs w:val="16"/>
        </w:rPr>
        <w:t>%</w:t>
      </w:r>
      <w:r w:rsidRPr="00DF7ED9">
        <w:rPr>
          <w:rFonts w:ascii="Arial" w:eastAsia="Arial" w:hAnsi="Arial" w:cs="Arial"/>
          <w:color w:val="000000"/>
          <w:sz w:val="16"/>
          <w:szCs w:val="16"/>
        </w:rPr>
        <w:t xml:space="preserve"> of the </w:t>
      </w:r>
      <w:r w:rsidR="00B07BDF" w:rsidRPr="00DF7ED9">
        <w:rPr>
          <w:rFonts w:ascii="Arial" w:eastAsia="Arial" w:hAnsi="Arial" w:cs="Arial"/>
          <w:color w:val="000000"/>
          <w:sz w:val="16"/>
          <w:szCs w:val="16"/>
        </w:rPr>
        <w:t>initial index value</w:t>
      </w:r>
      <w:r w:rsidRPr="00DF7ED9">
        <w:rPr>
          <w:rFonts w:ascii="Arial" w:eastAsia="Arial" w:hAnsi="Arial" w:cs="Arial"/>
          <w:color w:val="000000"/>
          <w:sz w:val="16"/>
          <w:szCs w:val="16"/>
        </w:rPr>
        <w:t xml:space="preserve">, which we refer to as the coupon barrier level. It is possible that the </w:t>
      </w:r>
      <w:r w:rsidR="004B51F0" w:rsidRPr="00DF7ED9">
        <w:rPr>
          <w:rFonts w:ascii="Arial" w:eastAsia="Arial" w:hAnsi="Arial" w:cs="Arial"/>
          <w:color w:val="000000"/>
          <w:sz w:val="16"/>
          <w:szCs w:val="16"/>
        </w:rPr>
        <w:t>index closing value</w:t>
      </w:r>
      <w:r w:rsidRPr="00DF7ED9">
        <w:rPr>
          <w:rFonts w:ascii="Arial" w:eastAsia="Arial" w:hAnsi="Arial" w:cs="Arial"/>
          <w:color w:val="000000"/>
          <w:sz w:val="16"/>
          <w:szCs w:val="16"/>
        </w:rPr>
        <w:t xml:space="preserve"> of the </w:t>
      </w:r>
      <w:r w:rsidR="004B51F0" w:rsidRPr="00DF7ED9">
        <w:rPr>
          <w:rFonts w:ascii="Arial" w:eastAsia="Arial" w:hAnsi="Arial" w:cs="Arial"/>
          <w:color w:val="000000"/>
          <w:sz w:val="16"/>
          <w:szCs w:val="16"/>
        </w:rPr>
        <w:t>underlying index</w:t>
      </w:r>
      <w:r w:rsidRPr="00DF7ED9">
        <w:rPr>
          <w:rFonts w:ascii="Arial" w:eastAsia="Arial" w:hAnsi="Arial" w:cs="Arial"/>
          <w:color w:val="000000"/>
          <w:sz w:val="16"/>
          <w:szCs w:val="16"/>
        </w:rPr>
        <w:t xml:space="preserve"> could remain below the coupon barrier level for extended periods of time or even throughout the entire term of the securities so that you may receive few or no contingent quarterly coupons during the entire 2-year term of the securities. In addition, beginning on </w:t>
      </w:r>
      <w:r w:rsidR="00290387">
        <w:rPr>
          <w:rFonts w:ascii="Arial" w:eastAsia="Arial" w:hAnsi="Arial" w:cs="Arial"/>
          <w:color w:val="000000"/>
          <w:sz w:val="16"/>
          <w:szCs w:val="16"/>
        </w:rPr>
        <w:t>May 26, 2026</w:t>
      </w:r>
      <w:r w:rsidRPr="00DF7ED9">
        <w:rPr>
          <w:rFonts w:ascii="Arial" w:eastAsia="Arial" w:hAnsi="Arial" w:cs="Arial"/>
          <w:color w:val="000000"/>
          <w:sz w:val="16"/>
          <w:szCs w:val="16"/>
        </w:rPr>
        <w:t xml:space="preserve">, </w:t>
      </w:r>
      <w:r w:rsidR="00C80983" w:rsidRPr="00DF7ED9">
        <w:rPr>
          <w:rFonts w:ascii="Arial" w:eastAsia="Arial" w:hAnsi="Arial" w:cs="Arial"/>
          <w:b/>
          <w:bCs/>
          <w:sz w:val="16"/>
          <w:szCs w:val="16"/>
        </w:rPr>
        <w:t>we will have the right to redeem the securities at our discretion on any quarterly redemption date</w:t>
      </w:r>
      <w:r w:rsidR="00C80983" w:rsidRPr="00DF7ED9">
        <w:rPr>
          <w:rFonts w:ascii="Arial" w:eastAsia="Arial" w:hAnsi="Arial" w:cs="Arial"/>
          <w:sz w:val="16"/>
          <w:szCs w:val="16"/>
        </w:rPr>
        <w:t xml:space="preserve"> for a redemption payment equal to the sum of the stated principal amount plus any contingent quarterly coupon otherwise due with respect to the related observation date.</w:t>
      </w:r>
    </w:p>
    <w:p w14:paraId="03E3EC2E" w14:textId="3ECEC37B" w:rsidR="002C6D14" w:rsidRPr="00DF7ED9" w:rsidRDefault="00C24AAF" w:rsidP="007504BD">
      <w:pPr>
        <w:spacing w:after="132" w:line="200" w:lineRule="atLeast"/>
        <w:ind w:right="54"/>
        <w:rPr>
          <w:sz w:val="16"/>
          <w:szCs w:val="16"/>
        </w:rPr>
      </w:pPr>
      <w:r w:rsidRPr="00DF7ED9">
        <w:rPr>
          <w:rFonts w:ascii="Arial" w:eastAsia="Arial" w:hAnsi="Arial" w:cs="Arial"/>
          <w:color w:val="000000"/>
          <w:sz w:val="16"/>
          <w:szCs w:val="16"/>
        </w:rPr>
        <w:t xml:space="preserve">If the securities have not been previously redeemed and the </w:t>
      </w:r>
      <w:r w:rsidR="00B07BDF" w:rsidRPr="00DF7ED9">
        <w:rPr>
          <w:rFonts w:ascii="Arial" w:eastAsia="Arial" w:hAnsi="Arial" w:cs="Arial"/>
          <w:color w:val="000000"/>
          <w:sz w:val="16"/>
          <w:szCs w:val="16"/>
        </w:rPr>
        <w:t>final index value</w:t>
      </w:r>
      <w:r w:rsidRPr="00DF7ED9">
        <w:rPr>
          <w:rFonts w:ascii="Arial" w:eastAsia="Arial" w:hAnsi="Arial" w:cs="Arial"/>
          <w:color w:val="000000"/>
          <w:sz w:val="16"/>
          <w:szCs w:val="16"/>
        </w:rPr>
        <w:t xml:space="preserve"> is greater than or equal to </w:t>
      </w:r>
      <w:r w:rsidR="00B66851" w:rsidRPr="00DF7ED9">
        <w:rPr>
          <w:rFonts w:ascii="Arial" w:eastAsia="Arial" w:hAnsi="Arial" w:cs="Arial"/>
          <w:color w:val="000000"/>
          <w:sz w:val="16"/>
          <w:szCs w:val="16"/>
        </w:rPr>
        <w:t>80</w:t>
      </w:r>
      <w:r w:rsidR="00D56F33" w:rsidRPr="00DF7ED9">
        <w:rPr>
          <w:rFonts w:ascii="Arial" w:eastAsia="Arial" w:hAnsi="Arial" w:cs="Arial"/>
          <w:color w:val="000000"/>
          <w:sz w:val="16"/>
          <w:szCs w:val="16"/>
        </w:rPr>
        <w:t>%</w:t>
      </w:r>
      <w:r w:rsidRPr="00DF7ED9">
        <w:rPr>
          <w:rFonts w:ascii="Arial" w:eastAsia="Arial" w:hAnsi="Arial" w:cs="Arial"/>
          <w:color w:val="000000"/>
          <w:sz w:val="16"/>
          <w:szCs w:val="16"/>
        </w:rPr>
        <w:t xml:space="preserve"> of the </w:t>
      </w:r>
      <w:r w:rsidR="00B07BDF" w:rsidRPr="00DF7ED9">
        <w:rPr>
          <w:rFonts w:ascii="Arial" w:eastAsia="Arial" w:hAnsi="Arial" w:cs="Arial"/>
          <w:color w:val="000000"/>
          <w:sz w:val="16"/>
          <w:szCs w:val="16"/>
        </w:rPr>
        <w:t>initial index value</w:t>
      </w:r>
      <w:r w:rsidRPr="00DF7ED9">
        <w:rPr>
          <w:rFonts w:ascii="Arial" w:eastAsia="Arial" w:hAnsi="Arial" w:cs="Arial"/>
          <w:color w:val="000000"/>
          <w:sz w:val="16"/>
          <w:szCs w:val="16"/>
        </w:rPr>
        <w:t xml:space="preserve">, which we refer to as the downside threshold level, the payment at maturity will be the </w:t>
      </w:r>
      <w:r w:rsidR="00417ECE" w:rsidRPr="00DF7ED9">
        <w:rPr>
          <w:rFonts w:ascii="Arial" w:eastAsia="Arial" w:hAnsi="Arial" w:cs="Arial"/>
          <w:color w:val="000000"/>
          <w:sz w:val="16"/>
          <w:szCs w:val="16"/>
        </w:rPr>
        <w:t xml:space="preserve">sum of the </w:t>
      </w:r>
      <w:r w:rsidRPr="00DF7ED9">
        <w:rPr>
          <w:rFonts w:ascii="Arial" w:eastAsia="Arial" w:hAnsi="Arial" w:cs="Arial"/>
          <w:color w:val="000000"/>
          <w:sz w:val="16"/>
          <w:szCs w:val="16"/>
        </w:rPr>
        <w:t xml:space="preserve">stated principal amount and the contingent quarterly coupon with respect to the final observation date.  However, if the </w:t>
      </w:r>
      <w:r w:rsidR="00B07BDF" w:rsidRPr="00DF7ED9">
        <w:rPr>
          <w:rFonts w:ascii="Arial" w:eastAsia="Arial" w:hAnsi="Arial" w:cs="Arial"/>
          <w:color w:val="000000"/>
          <w:sz w:val="16"/>
          <w:szCs w:val="16"/>
        </w:rPr>
        <w:t>final index value</w:t>
      </w:r>
      <w:r w:rsidRPr="00DF7ED9">
        <w:rPr>
          <w:rFonts w:ascii="Arial" w:eastAsia="Arial" w:hAnsi="Arial" w:cs="Arial"/>
          <w:color w:val="000000"/>
          <w:sz w:val="16"/>
          <w:szCs w:val="16"/>
        </w:rPr>
        <w:t xml:space="preserve"> is less than the downside threshold level, investors will be fully exposed to the decline in the </w:t>
      </w:r>
      <w:r w:rsidR="004B51F0" w:rsidRPr="00DF7ED9">
        <w:rPr>
          <w:rFonts w:ascii="Arial" w:eastAsia="Arial" w:hAnsi="Arial" w:cs="Arial"/>
          <w:color w:val="000000"/>
          <w:sz w:val="16"/>
          <w:szCs w:val="16"/>
        </w:rPr>
        <w:t>underlying index</w:t>
      </w:r>
      <w:r w:rsidRPr="00DF7ED9">
        <w:rPr>
          <w:rFonts w:ascii="Arial" w:eastAsia="Arial" w:hAnsi="Arial" w:cs="Arial"/>
          <w:color w:val="000000"/>
          <w:sz w:val="16"/>
          <w:szCs w:val="16"/>
        </w:rPr>
        <w:t xml:space="preserve"> over the term of the securities on a 1-to-1 basis, and will receive an amount of cash that is significantly less than the stated principal amount, in proportion to the decline in the </w:t>
      </w:r>
      <w:r w:rsidR="004B51F0" w:rsidRPr="00DF7ED9">
        <w:rPr>
          <w:rFonts w:ascii="Arial" w:eastAsia="Arial" w:hAnsi="Arial" w:cs="Arial"/>
          <w:color w:val="000000"/>
          <w:sz w:val="16"/>
          <w:szCs w:val="16"/>
        </w:rPr>
        <w:t>underlying index</w:t>
      </w:r>
      <w:r w:rsidRPr="00DF7ED9">
        <w:rPr>
          <w:rFonts w:ascii="Arial" w:eastAsia="Arial" w:hAnsi="Arial" w:cs="Arial"/>
          <w:color w:val="000000"/>
          <w:sz w:val="16"/>
          <w:szCs w:val="16"/>
        </w:rPr>
        <w:t xml:space="preserve">.  In this scenario, the value of any such payment will be less than </w:t>
      </w:r>
      <w:r w:rsidR="00B66851" w:rsidRPr="00DF7ED9">
        <w:rPr>
          <w:rFonts w:ascii="Arial" w:eastAsia="Arial" w:hAnsi="Arial" w:cs="Arial"/>
          <w:color w:val="000000"/>
          <w:sz w:val="16"/>
          <w:szCs w:val="16"/>
        </w:rPr>
        <w:t>80</w:t>
      </w:r>
      <w:r w:rsidR="00D56F33" w:rsidRPr="00DF7ED9">
        <w:rPr>
          <w:rFonts w:ascii="Arial" w:eastAsia="Arial" w:hAnsi="Arial" w:cs="Arial"/>
          <w:color w:val="000000"/>
          <w:sz w:val="16"/>
          <w:szCs w:val="16"/>
        </w:rPr>
        <w:t>%</w:t>
      </w:r>
      <w:r w:rsidRPr="00DF7ED9">
        <w:rPr>
          <w:rFonts w:ascii="Arial" w:eastAsia="Arial" w:hAnsi="Arial" w:cs="Arial"/>
          <w:color w:val="000000"/>
          <w:sz w:val="16"/>
          <w:szCs w:val="16"/>
        </w:rPr>
        <w:t xml:space="preserve"> of the stated principal amount of the securities and could be zero.  Investors in the securities must be willing to accept the risk of losing their entire principal and also the risk of not receiving any contingent quarterly coupons.  In addition, investors will not participate in any appreciation of the </w:t>
      </w:r>
      <w:r w:rsidR="004B51F0" w:rsidRPr="00DF7ED9">
        <w:rPr>
          <w:rFonts w:ascii="Arial" w:eastAsia="Arial" w:hAnsi="Arial" w:cs="Arial"/>
          <w:color w:val="000000"/>
          <w:sz w:val="16"/>
          <w:szCs w:val="16"/>
        </w:rPr>
        <w:t>underlying index</w:t>
      </w:r>
      <w:r w:rsidRPr="00DF7ED9">
        <w:rPr>
          <w:rFonts w:ascii="Arial" w:eastAsia="Arial" w:hAnsi="Arial" w:cs="Arial"/>
          <w:color w:val="000000"/>
          <w:sz w:val="16"/>
          <w:szCs w:val="16"/>
        </w:rPr>
        <w:t>.</w:t>
      </w:r>
    </w:p>
    <w:tbl>
      <w:tblPr>
        <w:tblW w:w="5000" w:type="pct"/>
        <w:tblCellSpacing w:w="0" w:type="dxa"/>
        <w:tblCellMar>
          <w:top w:w="15" w:type="dxa"/>
          <w:left w:w="15" w:type="dxa"/>
          <w:bottom w:w="15" w:type="dxa"/>
          <w:right w:w="15" w:type="dxa"/>
        </w:tblCellMar>
        <w:tblLook w:val="04A0" w:firstRow="1" w:lastRow="0" w:firstColumn="1" w:lastColumn="0" w:noHBand="0" w:noVBand="1"/>
      </w:tblPr>
      <w:tblGrid>
        <w:gridCol w:w="1883"/>
        <w:gridCol w:w="9781"/>
      </w:tblGrid>
      <w:tr w:rsidR="00BD53EC" w:rsidRPr="00DF7ED9" w14:paraId="64B42DDE" w14:textId="77777777" w:rsidTr="00C80983">
        <w:trPr>
          <w:cantSplit/>
          <w:tblCellSpacing w:w="0" w:type="dxa"/>
        </w:trPr>
        <w:tc>
          <w:tcPr>
            <w:tcW w:w="807" w:type="pct"/>
            <w:tcMar>
              <w:top w:w="0" w:type="dxa"/>
              <w:left w:w="0" w:type="dxa"/>
              <w:bottom w:w="0" w:type="dxa"/>
              <w:right w:w="0" w:type="dxa"/>
            </w:tcMar>
            <w:vAlign w:val="center"/>
            <w:hideMark/>
          </w:tcPr>
          <w:p w14:paraId="59E849B2" w14:textId="77777777" w:rsidR="002C6D14" w:rsidRPr="00DF7ED9" w:rsidRDefault="002C6D14">
            <w:pPr>
              <w:rPr>
                <w:color w:val="000000"/>
              </w:rPr>
            </w:pPr>
          </w:p>
        </w:tc>
        <w:tc>
          <w:tcPr>
            <w:tcW w:w="4193" w:type="pct"/>
            <w:tcMar>
              <w:top w:w="0" w:type="dxa"/>
              <w:left w:w="0" w:type="dxa"/>
              <w:bottom w:w="0" w:type="dxa"/>
              <w:right w:w="0" w:type="dxa"/>
            </w:tcMar>
            <w:vAlign w:val="center"/>
            <w:hideMark/>
          </w:tcPr>
          <w:p w14:paraId="3F601937" w14:textId="77777777" w:rsidR="002C6D14" w:rsidRPr="00DF7ED9" w:rsidRDefault="002C6D14">
            <w:pPr>
              <w:rPr>
                <w:color w:val="000000"/>
              </w:rPr>
            </w:pPr>
          </w:p>
        </w:tc>
      </w:tr>
      <w:tr w:rsidR="00BD53EC" w:rsidRPr="00DF7ED9" w14:paraId="07F88E9E" w14:textId="77777777" w:rsidTr="00C80983">
        <w:trPr>
          <w:cantSplit/>
          <w:tblCellSpacing w:w="0" w:type="dxa"/>
        </w:trPr>
        <w:tc>
          <w:tcPr>
            <w:tcW w:w="807" w:type="pct"/>
            <w:shd w:val="clear" w:color="auto" w:fill="FFFFFF"/>
            <w:tcMar>
              <w:top w:w="0" w:type="dxa"/>
              <w:left w:w="119" w:type="dxa"/>
              <w:bottom w:w="0" w:type="dxa"/>
              <w:right w:w="119" w:type="dxa"/>
            </w:tcMar>
            <w:hideMark/>
          </w:tcPr>
          <w:p w14:paraId="6F508426" w14:textId="77777777" w:rsidR="002C6D14" w:rsidRPr="00DF7ED9" w:rsidRDefault="00C24AAF">
            <w:pPr>
              <w:spacing w:before="132" w:after="132" w:line="220" w:lineRule="atLeast"/>
              <w:rPr>
                <w:color w:val="000000"/>
                <w:sz w:val="16"/>
                <w:szCs w:val="16"/>
              </w:rPr>
            </w:pPr>
            <w:r w:rsidRPr="00DF7ED9">
              <w:rPr>
                <w:rFonts w:ascii="Arial" w:eastAsia="Arial" w:hAnsi="Arial" w:cs="Arial"/>
                <w:b/>
                <w:bCs/>
                <w:color w:val="296DC1"/>
                <w:sz w:val="16"/>
                <w:szCs w:val="16"/>
              </w:rPr>
              <w:t>Maturity:</w:t>
            </w:r>
          </w:p>
        </w:tc>
        <w:tc>
          <w:tcPr>
            <w:tcW w:w="4193" w:type="pct"/>
            <w:shd w:val="clear" w:color="auto" w:fill="FFFFFF"/>
            <w:tcMar>
              <w:top w:w="0" w:type="dxa"/>
              <w:left w:w="119" w:type="dxa"/>
              <w:bottom w:w="0" w:type="dxa"/>
              <w:right w:w="119" w:type="dxa"/>
            </w:tcMar>
            <w:hideMark/>
          </w:tcPr>
          <w:p w14:paraId="7EEA9239" w14:textId="10BC6CFE" w:rsidR="002C6D14" w:rsidRPr="00DF7ED9" w:rsidRDefault="00C24AAF">
            <w:pPr>
              <w:spacing w:before="132" w:after="132" w:line="220" w:lineRule="atLeast"/>
              <w:rPr>
                <w:color w:val="000000"/>
                <w:sz w:val="16"/>
                <w:szCs w:val="16"/>
              </w:rPr>
            </w:pPr>
            <w:r w:rsidRPr="00DF7ED9">
              <w:rPr>
                <w:rFonts w:ascii="Arial" w:eastAsia="Arial" w:hAnsi="Arial" w:cs="Arial"/>
                <w:color w:val="000000"/>
                <w:sz w:val="16"/>
                <w:szCs w:val="16"/>
              </w:rPr>
              <w:t xml:space="preserve">Approximately 2 years, unless redeemed earlier </w:t>
            </w:r>
            <w:r w:rsidR="00C80983" w:rsidRPr="00DF7ED9">
              <w:rPr>
                <w:rFonts w:ascii="Arial" w:eastAsia="Arial" w:hAnsi="Arial" w:cs="Arial"/>
                <w:color w:val="000000"/>
                <w:sz w:val="16"/>
                <w:szCs w:val="16"/>
              </w:rPr>
              <w:t>at our discretion</w:t>
            </w:r>
            <w:r w:rsidR="00AA573E" w:rsidRPr="00DF7ED9">
              <w:rPr>
                <w:rFonts w:ascii="Arial" w:eastAsia="Arial" w:hAnsi="Arial" w:cs="Arial"/>
                <w:color w:val="000000"/>
                <w:sz w:val="16"/>
                <w:szCs w:val="16"/>
              </w:rPr>
              <w:t>.</w:t>
            </w:r>
          </w:p>
        </w:tc>
      </w:tr>
      <w:tr w:rsidR="00BD53EC" w:rsidRPr="00DF7ED9" w14:paraId="56B84E48" w14:textId="77777777" w:rsidTr="00C80983">
        <w:trPr>
          <w:cantSplit/>
          <w:tblCellSpacing w:w="0" w:type="dxa"/>
        </w:trPr>
        <w:tc>
          <w:tcPr>
            <w:tcW w:w="807" w:type="pct"/>
            <w:shd w:val="clear" w:color="auto" w:fill="FFFFFF"/>
            <w:tcMar>
              <w:top w:w="0" w:type="dxa"/>
              <w:left w:w="119" w:type="dxa"/>
              <w:bottom w:w="0" w:type="dxa"/>
              <w:right w:w="119" w:type="dxa"/>
            </w:tcMar>
            <w:hideMark/>
          </w:tcPr>
          <w:p w14:paraId="65840B41" w14:textId="77777777" w:rsidR="002C6D14" w:rsidRPr="00DF7ED9" w:rsidRDefault="00C24AAF">
            <w:pPr>
              <w:spacing w:before="132" w:after="132" w:line="220" w:lineRule="atLeast"/>
              <w:rPr>
                <w:color w:val="000000"/>
                <w:sz w:val="16"/>
                <w:szCs w:val="16"/>
              </w:rPr>
            </w:pPr>
            <w:r w:rsidRPr="00DF7ED9">
              <w:rPr>
                <w:rFonts w:ascii="Arial" w:eastAsia="Arial" w:hAnsi="Arial" w:cs="Arial"/>
                <w:b/>
                <w:bCs/>
                <w:color w:val="296DC1"/>
                <w:sz w:val="16"/>
                <w:szCs w:val="16"/>
              </w:rPr>
              <w:t>Payment at maturity:</w:t>
            </w:r>
          </w:p>
        </w:tc>
        <w:tc>
          <w:tcPr>
            <w:tcW w:w="4193" w:type="pct"/>
            <w:shd w:val="clear" w:color="auto" w:fill="FFFFFF"/>
            <w:tcMar>
              <w:top w:w="0" w:type="dxa"/>
              <w:left w:w="119" w:type="dxa"/>
              <w:bottom w:w="0" w:type="dxa"/>
              <w:right w:w="119" w:type="dxa"/>
            </w:tcMar>
            <w:hideMark/>
          </w:tcPr>
          <w:p w14:paraId="15B09DE0" w14:textId="77777777" w:rsidR="002C6D14" w:rsidRPr="00DF7ED9" w:rsidRDefault="00C24AAF">
            <w:pPr>
              <w:rPr>
                <w:color w:val="000000"/>
                <w:sz w:val="16"/>
                <w:szCs w:val="16"/>
              </w:rPr>
            </w:pPr>
            <w:r w:rsidRPr="00DF7ED9">
              <w:rPr>
                <w:rFonts w:ascii="Arial" w:eastAsia="Arial" w:hAnsi="Arial" w:cs="Arial"/>
                <w:color w:val="000000"/>
                <w:sz w:val="16"/>
                <w:szCs w:val="16"/>
              </w:rPr>
              <w:t>If the securities have not previously been redeemed, investors will receive on the maturity date a payment at maturity determined as follows:</w:t>
            </w:r>
          </w:p>
          <w:p w14:paraId="33A54503" w14:textId="77777777" w:rsidR="002C6D14" w:rsidRPr="00DF7ED9" w:rsidRDefault="00C24AAF">
            <w:pPr>
              <w:rPr>
                <w:color w:val="000000"/>
                <w:sz w:val="16"/>
                <w:szCs w:val="16"/>
              </w:rPr>
            </w:pPr>
            <w:r w:rsidRPr="00DF7ED9">
              <w:rPr>
                <w:rFonts w:ascii="Arial" w:eastAsia="Arial" w:hAnsi="Arial" w:cs="Arial"/>
                <w:color w:val="000000"/>
                <w:sz w:val="16"/>
                <w:szCs w:val="16"/>
              </w:rPr>
              <w:t> </w:t>
            </w:r>
          </w:p>
          <w:p w14:paraId="66554520" w14:textId="27AE0E70" w:rsidR="002C6D14" w:rsidRPr="00DF7ED9" w:rsidRDefault="00C24AAF">
            <w:pPr>
              <w:rPr>
                <w:color w:val="000000"/>
                <w:sz w:val="16"/>
                <w:szCs w:val="16"/>
              </w:rPr>
            </w:pPr>
            <w:r w:rsidRPr="00DF7ED9">
              <w:rPr>
                <w:rFonts w:ascii="Arial" w:eastAsia="Arial" w:hAnsi="Arial" w:cs="Arial"/>
                <w:color w:val="000000"/>
                <w:sz w:val="16"/>
                <w:szCs w:val="16"/>
              </w:rPr>
              <w:t xml:space="preserve">If the </w:t>
            </w:r>
            <w:r w:rsidR="00B07BDF" w:rsidRPr="00DF7ED9">
              <w:rPr>
                <w:rFonts w:ascii="Arial" w:eastAsia="Arial" w:hAnsi="Arial" w:cs="Arial"/>
                <w:color w:val="000000"/>
                <w:sz w:val="16"/>
                <w:szCs w:val="16"/>
              </w:rPr>
              <w:t>final index value</w:t>
            </w:r>
            <w:r w:rsidRPr="00DF7ED9">
              <w:rPr>
                <w:rFonts w:ascii="Arial" w:eastAsia="Arial" w:hAnsi="Arial" w:cs="Arial"/>
                <w:color w:val="000000"/>
                <w:sz w:val="16"/>
                <w:szCs w:val="16"/>
              </w:rPr>
              <w:t xml:space="preserve"> is </w:t>
            </w:r>
            <w:r w:rsidRPr="00DF7ED9">
              <w:rPr>
                <w:rFonts w:ascii="Arial" w:eastAsia="Arial" w:hAnsi="Arial" w:cs="Arial"/>
                <w:b/>
                <w:bCs/>
                <w:color w:val="000000"/>
                <w:sz w:val="16"/>
                <w:szCs w:val="16"/>
              </w:rPr>
              <w:t>greater than or equal to</w:t>
            </w:r>
            <w:r w:rsidRPr="00DF7ED9">
              <w:rPr>
                <w:rFonts w:ascii="Arial" w:eastAsia="Arial" w:hAnsi="Arial" w:cs="Arial"/>
                <w:color w:val="000000"/>
                <w:sz w:val="16"/>
                <w:szCs w:val="16"/>
              </w:rPr>
              <w:t xml:space="preserve"> the downside threshold level, investors will receive the stated principal amount and the contingent quarterly coupon with respect to the final observation date.</w:t>
            </w:r>
          </w:p>
          <w:p w14:paraId="7049CFF0" w14:textId="77777777" w:rsidR="002C6D14" w:rsidRPr="00DF7ED9" w:rsidRDefault="00C24AAF">
            <w:pPr>
              <w:rPr>
                <w:color w:val="000000"/>
                <w:sz w:val="16"/>
                <w:szCs w:val="16"/>
              </w:rPr>
            </w:pPr>
            <w:r w:rsidRPr="00DF7ED9">
              <w:rPr>
                <w:rFonts w:ascii="Arial" w:eastAsia="Arial" w:hAnsi="Arial" w:cs="Arial"/>
                <w:color w:val="000000"/>
                <w:sz w:val="16"/>
                <w:szCs w:val="16"/>
              </w:rPr>
              <w:t> </w:t>
            </w:r>
          </w:p>
          <w:p w14:paraId="5ABB18EE" w14:textId="5595C611" w:rsidR="002C6D14" w:rsidRPr="00DF7ED9" w:rsidRDefault="00C24AAF">
            <w:pPr>
              <w:rPr>
                <w:color w:val="000000"/>
                <w:sz w:val="16"/>
                <w:szCs w:val="16"/>
              </w:rPr>
            </w:pPr>
            <w:r w:rsidRPr="00DF7ED9">
              <w:rPr>
                <w:rFonts w:ascii="Arial" w:eastAsia="Arial" w:hAnsi="Arial" w:cs="Arial"/>
                <w:color w:val="000000"/>
                <w:sz w:val="16"/>
                <w:szCs w:val="16"/>
              </w:rPr>
              <w:t xml:space="preserve">If the </w:t>
            </w:r>
            <w:r w:rsidR="00B07BDF" w:rsidRPr="00DF7ED9">
              <w:rPr>
                <w:rFonts w:ascii="Arial" w:eastAsia="Arial" w:hAnsi="Arial" w:cs="Arial"/>
                <w:color w:val="000000"/>
                <w:sz w:val="16"/>
                <w:szCs w:val="16"/>
              </w:rPr>
              <w:t>final index value</w:t>
            </w:r>
            <w:r w:rsidRPr="00DF7ED9">
              <w:rPr>
                <w:rFonts w:ascii="Arial" w:eastAsia="Arial" w:hAnsi="Arial" w:cs="Arial"/>
                <w:color w:val="000000"/>
                <w:sz w:val="16"/>
                <w:szCs w:val="16"/>
              </w:rPr>
              <w:t xml:space="preserve"> is </w:t>
            </w:r>
            <w:r w:rsidRPr="00DF7ED9">
              <w:rPr>
                <w:rFonts w:ascii="Arial" w:eastAsia="Arial" w:hAnsi="Arial" w:cs="Arial"/>
                <w:b/>
                <w:bCs/>
                <w:color w:val="000000"/>
                <w:sz w:val="16"/>
                <w:szCs w:val="16"/>
              </w:rPr>
              <w:t>less than</w:t>
            </w:r>
            <w:r w:rsidRPr="00DF7ED9">
              <w:rPr>
                <w:rFonts w:ascii="Arial" w:eastAsia="Arial" w:hAnsi="Arial" w:cs="Arial"/>
                <w:color w:val="000000"/>
                <w:sz w:val="16"/>
                <w:szCs w:val="16"/>
              </w:rPr>
              <w:t xml:space="preserve"> the downside threshold level, investors will receive a payment at maturity that is less than </w:t>
            </w:r>
            <w:r w:rsidR="00B66851" w:rsidRPr="00DF7ED9">
              <w:rPr>
                <w:rFonts w:ascii="Arial" w:eastAsia="Arial" w:hAnsi="Arial" w:cs="Arial"/>
                <w:color w:val="000000"/>
                <w:sz w:val="16"/>
                <w:szCs w:val="16"/>
              </w:rPr>
              <w:t>80</w:t>
            </w:r>
            <w:r w:rsidR="00D56F33" w:rsidRPr="00DF7ED9">
              <w:rPr>
                <w:rFonts w:ascii="Arial" w:eastAsia="Arial" w:hAnsi="Arial" w:cs="Arial"/>
                <w:color w:val="000000"/>
                <w:sz w:val="16"/>
                <w:szCs w:val="16"/>
              </w:rPr>
              <w:t>%</w:t>
            </w:r>
            <w:r w:rsidRPr="00DF7ED9">
              <w:rPr>
                <w:rFonts w:ascii="Arial" w:eastAsia="Arial" w:hAnsi="Arial" w:cs="Arial"/>
                <w:color w:val="000000"/>
                <w:sz w:val="16"/>
                <w:szCs w:val="16"/>
              </w:rPr>
              <w:t xml:space="preserve"> of the stated principal amount of the securities and could be zero.  </w:t>
            </w:r>
            <w:r w:rsidRPr="00DF7ED9">
              <w:rPr>
                <w:rFonts w:ascii="Arial" w:eastAsia="Arial" w:hAnsi="Arial" w:cs="Arial"/>
                <w:b/>
                <w:bCs/>
                <w:color w:val="000000"/>
                <w:sz w:val="16"/>
                <w:szCs w:val="16"/>
              </w:rPr>
              <w:t>Accordingly,</w:t>
            </w:r>
            <w:r w:rsidRPr="00DF7ED9">
              <w:rPr>
                <w:rFonts w:ascii="Arial" w:eastAsia="Arial" w:hAnsi="Arial" w:cs="Arial"/>
                <w:color w:val="000000"/>
                <w:sz w:val="16"/>
                <w:szCs w:val="16"/>
              </w:rPr>
              <w:t xml:space="preserve"> i</w:t>
            </w:r>
            <w:r w:rsidRPr="00DF7ED9">
              <w:rPr>
                <w:rFonts w:ascii="Arial" w:eastAsia="Arial" w:hAnsi="Arial" w:cs="Arial"/>
                <w:b/>
                <w:bCs/>
                <w:color w:val="000000"/>
                <w:sz w:val="16"/>
                <w:szCs w:val="16"/>
              </w:rPr>
              <w:t>nvestors in the securities must be willing to accept the risk of losing their entire initial investment.</w:t>
            </w:r>
          </w:p>
        </w:tc>
      </w:tr>
      <w:tr w:rsidR="00BD53EC" w:rsidRPr="00DF7ED9" w14:paraId="2BED4CFE" w14:textId="77777777" w:rsidTr="00C80983">
        <w:trPr>
          <w:cantSplit/>
          <w:tblCellSpacing w:w="0" w:type="dxa"/>
        </w:trPr>
        <w:tc>
          <w:tcPr>
            <w:tcW w:w="807" w:type="pct"/>
            <w:shd w:val="clear" w:color="auto" w:fill="FFFFFF"/>
            <w:tcMar>
              <w:top w:w="0" w:type="dxa"/>
              <w:left w:w="119" w:type="dxa"/>
              <w:bottom w:w="0" w:type="dxa"/>
              <w:right w:w="119" w:type="dxa"/>
            </w:tcMar>
            <w:hideMark/>
          </w:tcPr>
          <w:p w14:paraId="77A0089A" w14:textId="77777777" w:rsidR="002C6D14" w:rsidRPr="00DF7ED9" w:rsidRDefault="00C24AAF">
            <w:pPr>
              <w:spacing w:before="132" w:after="132" w:line="220" w:lineRule="atLeast"/>
              <w:rPr>
                <w:color w:val="000000"/>
                <w:sz w:val="16"/>
                <w:szCs w:val="16"/>
              </w:rPr>
            </w:pPr>
            <w:r w:rsidRPr="00DF7ED9">
              <w:rPr>
                <w:rFonts w:ascii="Arial" w:eastAsia="Arial" w:hAnsi="Arial" w:cs="Arial"/>
                <w:b/>
                <w:bCs/>
                <w:color w:val="296DC1"/>
                <w:sz w:val="16"/>
                <w:szCs w:val="16"/>
              </w:rPr>
              <w:t>Contingent quarterly coupon:</w:t>
            </w:r>
          </w:p>
        </w:tc>
        <w:tc>
          <w:tcPr>
            <w:tcW w:w="4193" w:type="pct"/>
            <w:shd w:val="clear" w:color="auto" w:fill="FFFFFF"/>
            <w:tcMar>
              <w:top w:w="0" w:type="dxa"/>
              <w:left w:w="119" w:type="dxa"/>
              <w:bottom w:w="0" w:type="dxa"/>
              <w:right w:w="119" w:type="dxa"/>
            </w:tcMar>
            <w:vAlign w:val="center"/>
            <w:hideMark/>
          </w:tcPr>
          <w:p w14:paraId="51770417" w14:textId="239DB434" w:rsidR="002C6D14" w:rsidRPr="00DF7ED9" w:rsidRDefault="00C24AAF">
            <w:pPr>
              <w:spacing w:before="132" w:after="132" w:line="220" w:lineRule="atLeast"/>
              <w:rPr>
                <w:color w:val="000000"/>
                <w:sz w:val="16"/>
                <w:szCs w:val="16"/>
              </w:rPr>
            </w:pPr>
            <w:r w:rsidRPr="00DF7ED9">
              <w:rPr>
                <w:rFonts w:ascii="Arial" w:eastAsia="Arial" w:hAnsi="Arial" w:cs="Arial"/>
                <w:color w:val="000000"/>
                <w:sz w:val="16"/>
                <w:szCs w:val="16"/>
              </w:rPr>
              <w:t xml:space="preserve">A </w:t>
            </w:r>
            <w:r w:rsidRPr="00DF7ED9">
              <w:rPr>
                <w:rFonts w:ascii="Arial" w:eastAsia="Arial" w:hAnsi="Arial" w:cs="Arial"/>
                <w:i/>
                <w:iCs/>
                <w:color w:val="000000"/>
                <w:sz w:val="16"/>
                <w:szCs w:val="16"/>
              </w:rPr>
              <w:t xml:space="preserve">contingent </w:t>
            </w:r>
            <w:r w:rsidRPr="00DF7ED9">
              <w:rPr>
                <w:rFonts w:ascii="Arial" w:eastAsia="Arial" w:hAnsi="Arial" w:cs="Arial"/>
                <w:color w:val="000000"/>
                <w:sz w:val="16"/>
                <w:szCs w:val="16"/>
              </w:rPr>
              <w:t xml:space="preserve">coupon </w:t>
            </w:r>
            <w:r w:rsidR="00C80983" w:rsidRPr="00DF7ED9">
              <w:rPr>
                <w:rFonts w:ascii="Arial" w:eastAsia="Arial" w:hAnsi="Arial" w:cs="Arial"/>
                <w:color w:val="000000"/>
                <w:sz w:val="16"/>
                <w:szCs w:val="16"/>
              </w:rPr>
              <w:t xml:space="preserve">of </w:t>
            </w:r>
            <w:r w:rsidR="00A80421">
              <w:rPr>
                <w:rFonts w:ascii="Arial" w:eastAsia="Arial" w:hAnsi="Arial" w:cs="Arial"/>
                <w:color w:val="000000"/>
                <w:sz w:val="16"/>
                <w:szCs w:val="16"/>
              </w:rPr>
              <w:t>$21.375</w:t>
            </w:r>
            <w:r w:rsidR="00B95586" w:rsidRPr="00DF7ED9">
              <w:rPr>
                <w:rFonts w:ascii="Arial" w:eastAsia="Arial" w:hAnsi="Arial" w:cs="Arial"/>
                <w:color w:val="000000"/>
                <w:sz w:val="16"/>
                <w:szCs w:val="16"/>
              </w:rPr>
              <w:t xml:space="preserve"> </w:t>
            </w:r>
            <w:r w:rsidR="00CA382B" w:rsidRPr="00DF7ED9">
              <w:rPr>
                <w:rFonts w:ascii="Arial" w:eastAsia="Arial" w:hAnsi="Arial" w:cs="Arial"/>
                <w:color w:val="000000"/>
                <w:sz w:val="16"/>
                <w:szCs w:val="16"/>
              </w:rPr>
              <w:t>per</w:t>
            </w:r>
            <w:r w:rsidR="0022047E" w:rsidRPr="00DF7ED9">
              <w:rPr>
                <w:rFonts w:ascii="Arial" w:eastAsia="Arial" w:hAnsi="Arial" w:cs="Arial"/>
                <w:color w:val="000000"/>
                <w:sz w:val="16"/>
                <w:szCs w:val="16"/>
              </w:rPr>
              <w:t xml:space="preserve"> quarter per</w:t>
            </w:r>
            <w:r w:rsidR="00CA382B" w:rsidRPr="00DF7ED9">
              <w:rPr>
                <w:rFonts w:ascii="Arial" w:eastAsia="Arial" w:hAnsi="Arial" w:cs="Arial"/>
                <w:color w:val="000000"/>
                <w:sz w:val="16"/>
                <w:szCs w:val="16"/>
              </w:rPr>
              <w:t xml:space="preserve"> security</w:t>
            </w:r>
            <w:r w:rsidR="00C80983" w:rsidRPr="00DF7ED9">
              <w:rPr>
                <w:rFonts w:ascii="Arial" w:eastAsia="Arial" w:hAnsi="Arial" w:cs="Arial"/>
                <w:color w:val="000000"/>
                <w:sz w:val="16"/>
                <w:szCs w:val="16"/>
              </w:rPr>
              <w:t xml:space="preserve"> (equal to a rate of</w:t>
            </w:r>
            <w:r w:rsidR="00867B80" w:rsidRPr="00DF7ED9">
              <w:rPr>
                <w:rFonts w:ascii="Arial" w:eastAsia="Arial" w:hAnsi="Arial" w:cs="Arial"/>
                <w:color w:val="000000"/>
                <w:sz w:val="16"/>
                <w:szCs w:val="16"/>
              </w:rPr>
              <w:t xml:space="preserve"> </w:t>
            </w:r>
            <w:r w:rsidR="00A80421">
              <w:rPr>
                <w:rFonts w:ascii="Arial" w:eastAsia="Arial" w:hAnsi="Arial" w:cs="Arial"/>
                <w:color w:val="000000"/>
                <w:sz w:val="16"/>
                <w:szCs w:val="16"/>
              </w:rPr>
              <w:t>2.1375%</w:t>
            </w:r>
            <w:r w:rsidR="00C80983" w:rsidRPr="00DF7ED9">
              <w:rPr>
                <w:rFonts w:ascii="Arial" w:eastAsia="Arial" w:hAnsi="Arial" w:cs="Arial"/>
                <w:color w:val="000000"/>
                <w:sz w:val="16"/>
                <w:szCs w:val="16"/>
              </w:rPr>
              <w:t xml:space="preserve"> per quarter or </w:t>
            </w:r>
            <w:r w:rsidR="00A80421">
              <w:rPr>
                <w:rFonts w:ascii="Arial" w:eastAsia="Arial" w:hAnsi="Arial" w:cs="Arial"/>
                <w:color w:val="000000"/>
                <w:sz w:val="16"/>
                <w:szCs w:val="16"/>
              </w:rPr>
              <w:t>8.55%</w:t>
            </w:r>
            <w:r w:rsidR="00C80983" w:rsidRPr="00DF7ED9">
              <w:rPr>
                <w:rFonts w:ascii="Arial" w:eastAsia="Arial" w:hAnsi="Arial" w:cs="Arial"/>
                <w:color w:val="000000"/>
                <w:sz w:val="16"/>
                <w:szCs w:val="16"/>
              </w:rPr>
              <w:t xml:space="preserve"> per annum) </w:t>
            </w:r>
            <w:r w:rsidRPr="00DF7ED9">
              <w:rPr>
                <w:rFonts w:ascii="Arial" w:eastAsia="Arial" w:hAnsi="Arial" w:cs="Arial"/>
                <w:color w:val="000000"/>
                <w:sz w:val="16"/>
                <w:szCs w:val="16"/>
              </w:rPr>
              <w:t xml:space="preserve">will be paid on the securities on each coupon payment date </w:t>
            </w:r>
            <w:r w:rsidRPr="00DF7ED9">
              <w:rPr>
                <w:rFonts w:ascii="Arial" w:eastAsia="Arial" w:hAnsi="Arial" w:cs="Arial"/>
                <w:b/>
                <w:bCs/>
                <w:color w:val="000000"/>
                <w:sz w:val="16"/>
                <w:szCs w:val="16"/>
              </w:rPr>
              <w:t>but only if</w:t>
            </w:r>
            <w:r w:rsidRPr="00DF7ED9">
              <w:rPr>
                <w:rFonts w:ascii="Arial" w:eastAsia="Arial" w:hAnsi="Arial" w:cs="Arial"/>
                <w:color w:val="000000"/>
                <w:sz w:val="16"/>
                <w:szCs w:val="16"/>
              </w:rPr>
              <w:t xml:space="preserve"> the </w:t>
            </w:r>
            <w:r w:rsidR="004B51F0" w:rsidRPr="00DF7ED9">
              <w:rPr>
                <w:rFonts w:ascii="Arial" w:eastAsia="Arial" w:hAnsi="Arial" w:cs="Arial"/>
                <w:color w:val="000000"/>
                <w:sz w:val="16"/>
                <w:szCs w:val="16"/>
              </w:rPr>
              <w:t>index closing value</w:t>
            </w:r>
            <w:r w:rsidRPr="00DF7ED9">
              <w:rPr>
                <w:rFonts w:ascii="Arial" w:eastAsia="Arial" w:hAnsi="Arial" w:cs="Arial"/>
                <w:color w:val="000000"/>
                <w:sz w:val="16"/>
                <w:szCs w:val="16"/>
              </w:rPr>
              <w:t xml:space="preserve"> of the </w:t>
            </w:r>
            <w:r w:rsidR="004B51F0" w:rsidRPr="00DF7ED9">
              <w:rPr>
                <w:rFonts w:ascii="Arial" w:eastAsia="Arial" w:hAnsi="Arial" w:cs="Arial"/>
                <w:color w:val="000000"/>
                <w:sz w:val="16"/>
                <w:szCs w:val="16"/>
              </w:rPr>
              <w:t>underlying index</w:t>
            </w:r>
            <w:r w:rsidRPr="00DF7ED9">
              <w:rPr>
                <w:rFonts w:ascii="Arial" w:eastAsia="Arial" w:hAnsi="Arial" w:cs="Arial"/>
                <w:color w:val="000000"/>
                <w:sz w:val="16"/>
                <w:szCs w:val="16"/>
              </w:rPr>
              <w:t xml:space="preserve"> is at or above the coupon barrier level on the related observation date. </w:t>
            </w:r>
          </w:p>
          <w:p w14:paraId="5DE4C1D7" w14:textId="77777777" w:rsidR="002C6D14" w:rsidRPr="00DF7ED9" w:rsidRDefault="00C24AAF">
            <w:pPr>
              <w:spacing w:before="132" w:after="132" w:line="220" w:lineRule="atLeast"/>
              <w:rPr>
                <w:color w:val="000000"/>
                <w:sz w:val="16"/>
                <w:szCs w:val="16"/>
              </w:rPr>
            </w:pPr>
            <w:r w:rsidRPr="00DF7ED9">
              <w:rPr>
                <w:rFonts w:ascii="Arial" w:eastAsia="Arial" w:hAnsi="Arial" w:cs="Arial"/>
                <w:b/>
                <w:bCs/>
                <w:color w:val="000000"/>
                <w:sz w:val="16"/>
                <w:szCs w:val="16"/>
              </w:rPr>
              <w:t xml:space="preserve">If, on any observation date, the </w:t>
            </w:r>
            <w:r w:rsidR="004B51F0" w:rsidRPr="00DF7ED9">
              <w:rPr>
                <w:rFonts w:ascii="Arial" w:eastAsia="Arial" w:hAnsi="Arial" w:cs="Arial"/>
                <w:b/>
                <w:bCs/>
                <w:color w:val="000000"/>
                <w:sz w:val="16"/>
                <w:szCs w:val="16"/>
              </w:rPr>
              <w:t>index closing value</w:t>
            </w:r>
            <w:r w:rsidRPr="00DF7ED9">
              <w:rPr>
                <w:rFonts w:ascii="Arial" w:eastAsia="Arial" w:hAnsi="Arial" w:cs="Arial"/>
                <w:b/>
                <w:bCs/>
                <w:color w:val="000000"/>
                <w:sz w:val="16"/>
                <w:szCs w:val="16"/>
              </w:rPr>
              <w:t xml:space="preserve"> of the </w:t>
            </w:r>
            <w:r w:rsidR="004B51F0" w:rsidRPr="00DF7ED9">
              <w:rPr>
                <w:rFonts w:ascii="Arial" w:eastAsia="Arial" w:hAnsi="Arial" w:cs="Arial"/>
                <w:b/>
                <w:bCs/>
                <w:color w:val="000000"/>
                <w:sz w:val="16"/>
                <w:szCs w:val="16"/>
              </w:rPr>
              <w:t>underlying index</w:t>
            </w:r>
            <w:r w:rsidRPr="00DF7ED9">
              <w:rPr>
                <w:rFonts w:ascii="Arial" w:eastAsia="Arial" w:hAnsi="Arial" w:cs="Arial"/>
                <w:b/>
                <w:bCs/>
                <w:color w:val="000000"/>
                <w:sz w:val="16"/>
                <w:szCs w:val="16"/>
              </w:rPr>
              <w:t xml:space="preserve"> is less than the coupon barrier level, we will pay no coupon for the applicable quarterly period.</w:t>
            </w:r>
          </w:p>
        </w:tc>
      </w:tr>
      <w:tr w:rsidR="00BD53EC" w:rsidRPr="00DF7ED9" w14:paraId="540C5B4F" w14:textId="77777777" w:rsidTr="00C80983">
        <w:trPr>
          <w:cantSplit/>
          <w:tblCellSpacing w:w="0" w:type="dxa"/>
        </w:trPr>
        <w:tc>
          <w:tcPr>
            <w:tcW w:w="807" w:type="pct"/>
            <w:shd w:val="clear" w:color="auto" w:fill="FFFFFF"/>
            <w:tcMar>
              <w:top w:w="0" w:type="dxa"/>
              <w:left w:w="119" w:type="dxa"/>
              <w:bottom w:w="0" w:type="dxa"/>
              <w:right w:w="119" w:type="dxa"/>
            </w:tcMar>
            <w:hideMark/>
          </w:tcPr>
          <w:p w14:paraId="49AF77BA" w14:textId="77777777" w:rsidR="002C6D14" w:rsidRPr="00DF7ED9" w:rsidRDefault="00C24AAF">
            <w:pPr>
              <w:spacing w:before="132" w:after="132" w:line="220" w:lineRule="atLeast"/>
              <w:rPr>
                <w:color w:val="000000"/>
                <w:sz w:val="16"/>
                <w:szCs w:val="16"/>
              </w:rPr>
            </w:pPr>
            <w:r w:rsidRPr="00DF7ED9">
              <w:rPr>
                <w:rFonts w:ascii="Arial" w:eastAsia="Arial" w:hAnsi="Arial" w:cs="Arial"/>
                <w:b/>
                <w:bCs/>
                <w:color w:val="296DC1"/>
                <w:sz w:val="16"/>
                <w:szCs w:val="16"/>
              </w:rPr>
              <w:t>Early redemption:</w:t>
            </w:r>
          </w:p>
        </w:tc>
        <w:tc>
          <w:tcPr>
            <w:tcW w:w="4193" w:type="pct"/>
            <w:shd w:val="clear" w:color="auto" w:fill="FFFFFF"/>
            <w:tcMar>
              <w:top w:w="0" w:type="dxa"/>
              <w:left w:w="119" w:type="dxa"/>
              <w:bottom w:w="0" w:type="dxa"/>
              <w:right w:w="119" w:type="dxa"/>
            </w:tcMar>
            <w:vAlign w:val="center"/>
            <w:hideMark/>
          </w:tcPr>
          <w:p w14:paraId="6B90F109" w14:textId="1229F49D" w:rsidR="00C80983" w:rsidRPr="00DF7ED9" w:rsidRDefault="00C24AAF">
            <w:pPr>
              <w:spacing w:before="132" w:after="132" w:line="220" w:lineRule="atLeast"/>
              <w:rPr>
                <w:rFonts w:ascii="Arial" w:eastAsia="Arial" w:hAnsi="Arial" w:cs="Arial"/>
                <w:color w:val="000000"/>
                <w:sz w:val="16"/>
                <w:szCs w:val="16"/>
              </w:rPr>
            </w:pPr>
            <w:r w:rsidRPr="00DF7ED9">
              <w:rPr>
                <w:rFonts w:ascii="Arial" w:eastAsia="Arial" w:hAnsi="Arial" w:cs="Arial"/>
                <w:color w:val="000000"/>
                <w:sz w:val="16"/>
                <w:szCs w:val="16"/>
              </w:rPr>
              <w:t xml:space="preserve">Beginning on </w:t>
            </w:r>
            <w:r w:rsidR="00290387">
              <w:rPr>
                <w:rFonts w:ascii="Arial" w:eastAsia="Arial" w:hAnsi="Arial" w:cs="Arial"/>
                <w:color w:val="000000"/>
                <w:sz w:val="16"/>
                <w:szCs w:val="16"/>
              </w:rPr>
              <w:t>May 26, 2026</w:t>
            </w:r>
            <w:r w:rsidRPr="00DF7ED9">
              <w:rPr>
                <w:rFonts w:ascii="Arial" w:eastAsia="Arial" w:hAnsi="Arial" w:cs="Arial"/>
                <w:color w:val="000000"/>
                <w:sz w:val="16"/>
                <w:szCs w:val="16"/>
              </w:rPr>
              <w:t xml:space="preserve">, on any redemption date, we have the right to redeem all (but not less than all) of the securities </w:t>
            </w:r>
            <w:r w:rsidR="00EE7D01" w:rsidRPr="00DF7ED9">
              <w:rPr>
                <w:rFonts w:ascii="Arial" w:eastAsia="Arial" w:hAnsi="Arial" w:cs="Arial"/>
                <w:color w:val="000000"/>
                <w:sz w:val="16"/>
                <w:szCs w:val="16"/>
              </w:rPr>
              <w:t xml:space="preserve">for a redemption payment equal to the stated principal amount plus any contingent quarterly coupon </w:t>
            </w:r>
            <w:r w:rsidR="00AA573E" w:rsidRPr="00DF7ED9">
              <w:rPr>
                <w:rFonts w:ascii="Arial" w:eastAsia="Arial" w:hAnsi="Arial" w:cs="Arial"/>
                <w:color w:val="000000"/>
                <w:sz w:val="16"/>
                <w:szCs w:val="16"/>
              </w:rPr>
              <w:t xml:space="preserve">otherwise due </w:t>
            </w:r>
            <w:r w:rsidR="00EE7D01" w:rsidRPr="00DF7ED9">
              <w:rPr>
                <w:rFonts w:ascii="Arial" w:eastAsia="Arial" w:hAnsi="Arial" w:cs="Arial"/>
                <w:color w:val="000000"/>
                <w:sz w:val="16"/>
                <w:szCs w:val="16"/>
              </w:rPr>
              <w:t>with respect to the relevant observation date</w:t>
            </w:r>
            <w:r w:rsidRPr="00DF7ED9">
              <w:rPr>
                <w:rFonts w:ascii="Arial" w:eastAsia="Arial" w:hAnsi="Arial" w:cs="Arial"/>
                <w:color w:val="000000"/>
                <w:sz w:val="16"/>
                <w:szCs w:val="16"/>
              </w:rPr>
              <w:t xml:space="preserve">. An early redemption of the securities will not automatically occur based on the performance of the </w:t>
            </w:r>
            <w:r w:rsidR="004B51F0" w:rsidRPr="00DF7ED9">
              <w:rPr>
                <w:rFonts w:ascii="Arial" w:eastAsia="Arial" w:hAnsi="Arial" w:cs="Arial"/>
                <w:color w:val="000000"/>
                <w:sz w:val="16"/>
                <w:szCs w:val="16"/>
              </w:rPr>
              <w:t>underlying index</w:t>
            </w:r>
            <w:r w:rsidRPr="00DF7ED9">
              <w:rPr>
                <w:rFonts w:ascii="Arial" w:eastAsia="Arial" w:hAnsi="Arial" w:cs="Arial"/>
                <w:color w:val="000000"/>
                <w:sz w:val="16"/>
                <w:szCs w:val="16"/>
              </w:rPr>
              <w:t>.  We will give notice to the trustee at least five business days but not more than 60 calendar days before the applicable redemption date. No further payments will be made on the securities once they have been redeemed.</w:t>
            </w:r>
          </w:p>
          <w:p w14:paraId="327BD7A3" w14:textId="77777777" w:rsidR="002C6D14" w:rsidRPr="00DF7ED9" w:rsidRDefault="00C24AAF">
            <w:pPr>
              <w:spacing w:before="132" w:after="132" w:line="220" w:lineRule="atLeast"/>
              <w:rPr>
                <w:color w:val="000000"/>
                <w:sz w:val="16"/>
                <w:szCs w:val="16"/>
              </w:rPr>
            </w:pPr>
            <w:r w:rsidRPr="00DF7ED9">
              <w:rPr>
                <w:rFonts w:ascii="Arial" w:eastAsia="Arial" w:hAnsi="Arial" w:cs="Arial"/>
                <w:color w:val="000000"/>
                <w:sz w:val="16"/>
                <w:szCs w:val="16"/>
              </w:rPr>
              <w:t xml:space="preserve"> </w:t>
            </w:r>
          </w:p>
        </w:tc>
      </w:tr>
    </w:tbl>
    <w:p w14:paraId="7917D065" w14:textId="4F4D1CB8" w:rsidR="00C80983" w:rsidRPr="00DF7ED9" w:rsidRDefault="00C80983" w:rsidP="00AA573E">
      <w:pPr>
        <w:spacing w:after="132" w:line="200" w:lineRule="atLeast"/>
        <w:ind w:right="792"/>
        <w:rPr>
          <w:rFonts w:ascii="Arial" w:eastAsia="Arial" w:hAnsi="Arial" w:cs="Arial"/>
          <w:color w:val="000000"/>
          <w:sz w:val="18"/>
          <w:szCs w:val="18"/>
        </w:rPr>
      </w:pPr>
    </w:p>
    <w:p w14:paraId="10096CBF" w14:textId="7CD372B3" w:rsidR="00AA573E" w:rsidRPr="00B93F9A" w:rsidRDefault="00AA573E" w:rsidP="00344C6A">
      <w:pPr>
        <w:pStyle w:val="FontBodyRegularNoJustify"/>
        <w:rPr>
          <w:rFonts w:ascii="Arial" w:hAnsi="Arial" w:cs="Arial"/>
          <w:color w:val="auto"/>
          <w:w w:val="0"/>
          <w:szCs w:val="24"/>
        </w:rPr>
      </w:pPr>
      <w:r w:rsidRPr="00B93F9A">
        <w:rPr>
          <w:rFonts w:ascii="Arial" w:hAnsi="Arial" w:cs="Arial"/>
          <w:color w:val="auto"/>
          <w:w w:val="0"/>
          <w:szCs w:val="24"/>
        </w:rPr>
        <w:t xml:space="preserve">Any payments on the securities depend on the credit risk of BofA Finance, as issuer, and BAC, as guarantor, and on the performance of the underlying. The economic terms of the securities are based on BAC’s internal funding rate, which is the rate it would pay to borrow funds through the issuance of market-linked notes, and the economic terms of certain related hedging arrangements BAC’s affiliates enter into. BAC’s internal funding rate is typically lower than the rate it would pay when it issues conventional fixed or floating rate debt securities. This difference in funding rate, as well as the </w:t>
      </w:r>
      <w:r w:rsidR="008D6BA0" w:rsidRPr="00B93F9A">
        <w:rPr>
          <w:rFonts w:ascii="Arial" w:hAnsi="Arial" w:cs="Arial"/>
          <w:color w:val="auto"/>
          <w:w w:val="0"/>
          <w:szCs w:val="24"/>
        </w:rPr>
        <w:t>agent’s commissions and fees</w:t>
      </w:r>
      <w:r w:rsidRPr="00B93F9A">
        <w:rPr>
          <w:rFonts w:ascii="Arial" w:hAnsi="Arial" w:cs="Arial"/>
          <w:color w:val="auto"/>
          <w:w w:val="0"/>
          <w:szCs w:val="24"/>
        </w:rPr>
        <w:t xml:space="preserve">, if any, and the hedging related charges described below (see “Risk Factors” beginning on page </w:t>
      </w:r>
      <w:r w:rsidR="004920CB" w:rsidRPr="00B93F9A">
        <w:rPr>
          <w:rFonts w:ascii="Arial" w:hAnsi="Arial" w:cs="Arial"/>
          <w:color w:val="auto"/>
          <w:w w:val="0"/>
          <w:szCs w:val="24"/>
        </w:rPr>
        <w:t>9</w:t>
      </w:r>
      <w:r w:rsidRPr="00B93F9A">
        <w:rPr>
          <w:rFonts w:ascii="Arial" w:hAnsi="Arial" w:cs="Arial"/>
          <w:color w:val="auto"/>
          <w:w w:val="0"/>
          <w:szCs w:val="24"/>
        </w:rPr>
        <w:t>), reduce</w:t>
      </w:r>
      <w:r w:rsidR="000508AD">
        <w:rPr>
          <w:rFonts w:ascii="Arial" w:hAnsi="Arial" w:cs="Arial"/>
          <w:color w:val="auto"/>
          <w:w w:val="0"/>
          <w:szCs w:val="24"/>
        </w:rPr>
        <w:t>d</w:t>
      </w:r>
      <w:r w:rsidRPr="00B93F9A">
        <w:rPr>
          <w:rFonts w:ascii="Arial" w:hAnsi="Arial" w:cs="Arial"/>
          <w:color w:val="auto"/>
          <w:w w:val="0"/>
          <w:szCs w:val="24"/>
        </w:rPr>
        <w:t xml:space="preserve"> the economic terms of the </w:t>
      </w:r>
      <w:r w:rsidR="00344C6A" w:rsidRPr="00B93F9A">
        <w:rPr>
          <w:rFonts w:ascii="Arial" w:hAnsi="Arial" w:cs="Arial"/>
          <w:color w:val="auto"/>
          <w:w w:val="0"/>
          <w:szCs w:val="24"/>
        </w:rPr>
        <w:t>securities</w:t>
      </w:r>
      <w:r w:rsidRPr="00B93F9A">
        <w:rPr>
          <w:rFonts w:ascii="Arial" w:hAnsi="Arial" w:cs="Arial"/>
          <w:color w:val="auto"/>
          <w:w w:val="0"/>
          <w:szCs w:val="24"/>
        </w:rPr>
        <w:t xml:space="preserve"> to you and the initial estimated value of the securities. Due to these factors, the public offering price you</w:t>
      </w:r>
      <w:r w:rsidR="000508AD">
        <w:rPr>
          <w:rFonts w:ascii="Arial" w:hAnsi="Arial" w:cs="Arial"/>
          <w:color w:val="auto"/>
          <w:w w:val="0"/>
          <w:szCs w:val="24"/>
        </w:rPr>
        <w:t xml:space="preserve"> are</w:t>
      </w:r>
      <w:r w:rsidRPr="00B93F9A">
        <w:rPr>
          <w:rFonts w:ascii="Arial" w:hAnsi="Arial" w:cs="Arial"/>
          <w:color w:val="auto"/>
          <w:w w:val="0"/>
          <w:szCs w:val="24"/>
        </w:rPr>
        <w:t xml:space="preserve"> pay</w:t>
      </w:r>
      <w:r w:rsidR="000508AD">
        <w:rPr>
          <w:rFonts w:ascii="Arial" w:hAnsi="Arial" w:cs="Arial"/>
          <w:color w:val="auto"/>
          <w:w w:val="0"/>
          <w:szCs w:val="24"/>
        </w:rPr>
        <w:t>ing</w:t>
      </w:r>
      <w:r w:rsidRPr="00B93F9A">
        <w:rPr>
          <w:rFonts w:ascii="Arial" w:hAnsi="Arial" w:cs="Arial"/>
          <w:color w:val="auto"/>
          <w:w w:val="0"/>
          <w:szCs w:val="24"/>
        </w:rPr>
        <w:t xml:space="preserve"> to purchase the securities </w:t>
      </w:r>
      <w:r w:rsidR="000508AD">
        <w:rPr>
          <w:rFonts w:ascii="Arial" w:hAnsi="Arial" w:cs="Arial"/>
          <w:color w:val="auto"/>
          <w:w w:val="0"/>
          <w:szCs w:val="24"/>
        </w:rPr>
        <w:t>is</w:t>
      </w:r>
      <w:r w:rsidRPr="00B93F9A">
        <w:rPr>
          <w:rFonts w:ascii="Arial" w:hAnsi="Arial" w:cs="Arial"/>
          <w:color w:val="auto"/>
          <w:w w:val="0"/>
          <w:szCs w:val="24"/>
        </w:rPr>
        <w:t xml:space="preserve"> greater than the initial estimated value of the securities as of the pricing date.</w:t>
      </w:r>
    </w:p>
    <w:p w14:paraId="549D9A40" w14:textId="77777777" w:rsidR="00AA573E" w:rsidRPr="00DF7ED9" w:rsidRDefault="00AA573E" w:rsidP="00AA573E">
      <w:pPr>
        <w:pStyle w:val="FontBodyRegularNoJustify"/>
        <w:rPr>
          <w:rFonts w:cs="Times New Roman"/>
          <w:w w:val="0"/>
          <w:szCs w:val="24"/>
        </w:rPr>
      </w:pPr>
    </w:p>
    <w:p w14:paraId="3D33724D" w14:textId="3B1C9658" w:rsidR="00AA573E" w:rsidRPr="00B93F9A" w:rsidRDefault="00AA573E" w:rsidP="00AA573E">
      <w:pPr>
        <w:pStyle w:val="FontBodyRegularNoJustify"/>
        <w:rPr>
          <w:rFonts w:ascii="Arial" w:hAnsi="Arial" w:cs="Arial"/>
          <w:color w:val="auto"/>
          <w:w w:val="0"/>
          <w:szCs w:val="24"/>
        </w:rPr>
      </w:pPr>
      <w:r w:rsidRPr="00B93F9A">
        <w:rPr>
          <w:rFonts w:ascii="Arial" w:hAnsi="Arial" w:cs="Arial"/>
          <w:color w:val="auto"/>
          <w:w w:val="0"/>
          <w:szCs w:val="24"/>
        </w:rPr>
        <w:t>The initial estimated value of the securities</w:t>
      </w:r>
      <w:r w:rsidR="000508AD">
        <w:rPr>
          <w:rFonts w:ascii="Arial" w:hAnsi="Arial" w:cs="Arial"/>
          <w:color w:val="auto"/>
          <w:w w:val="0"/>
          <w:szCs w:val="24"/>
        </w:rPr>
        <w:t xml:space="preserve"> as of the pricing date</w:t>
      </w:r>
      <w:r w:rsidRPr="00B93F9A">
        <w:rPr>
          <w:rFonts w:ascii="Arial" w:hAnsi="Arial" w:cs="Arial"/>
          <w:color w:val="auto"/>
          <w:w w:val="0"/>
          <w:szCs w:val="24"/>
        </w:rPr>
        <w:t xml:space="preserve"> is set forth on the cover page of this pricing supplement. For more information about the initial estimated value and the structuring of the securities, see “Risk Factors” beginning on page </w:t>
      </w:r>
      <w:r w:rsidR="0044592A" w:rsidRPr="00B93F9A">
        <w:rPr>
          <w:rFonts w:ascii="Arial" w:hAnsi="Arial" w:cs="Arial"/>
          <w:color w:val="auto"/>
          <w:w w:val="0"/>
          <w:szCs w:val="24"/>
        </w:rPr>
        <w:t>9</w:t>
      </w:r>
      <w:r w:rsidRPr="00B93F9A">
        <w:rPr>
          <w:rFonts w:ascii="Arial" w:hAnsi="Arial" w:cs="Arial"/>
          <w:color w:val="auto"/>
          <w:w w:val="0"/>
          <w:szCs w:val="24"/>
        </w:rPr>
        <w:t xml:space="preserve"> and “Structuring the </w:t>
      </w:r>
      <w:r w:rsidR="0044592A" w:rsidRPr="00B93F9A">
        <w:rPr>
          <w:rFonts w:ascii="Arial" w:hAnsi="Arial" w:cs="Arial"/>
          <w:color w:val="auto"/>
          <w:w w:val="0"/>
          <w:szCs w:val="24"/>
        </w:rPr>
        <w:t>securities</w:t>
      </w:r>
      <w:r w:rsidRPr="00B93F9A">
        <w:rPr>
          <w:rFonts w:ascii="Arial" w:hAnsi="Arial" w:cs="Arial"/>
          <w:color w:val="auto"/>
          <w:w w:val="0"/>
          <w:szCs w:val="24"/>
        </w:rPr>
        <w:t xml:space="preserve">” on page </w:t>
      </w:r>
      <w:r w:rsidR="0044592A" w:rsidRPr="00B93F9A">
        <w:rPr>
          <w:rFonts w:ascii="Arial" w:hAnsi="Arial" w:cs="Arial"/>
          <w:color w:val="auto"/>
          <w:w w:val="0"/>
          <w:szCs w:val="24"/>
        </w:rPr>
        <w:t>1</w:t>
      </w:r>
      <w:r w:rsidR="0024099F">
        <w:rPr>
          <w:rFonts w:ascii="Arial" w:hAnsi="Arial" w:cs="Arial"/>
          <w:color w:val="auto"/>
          <w:w w:val="0"/>
          <w:szCs w:val="24"/>
        </w:rPr>
        <w:t>7</w:t>
      </w:r>
      <w:r w:rsidRPr="00B93F9A">
        <w:rPr>
          <w:rFonts w:ascii="Arial" w:hAnsi="Arial" w:cs="Arial"/>
          <w:color w:val="auto"/>
          <w:w w:val="0"/>
          <w:szCs w:val="24"/>
        </w:rPr>
        <w:t>.</w:t>
      </w:r>
    </w:p>
    <w:p w14:paraId="79B4C0C5" w14:textId="77777777" w:rsidR="00AA573E" w:rsidRPr="00B93F9A" w:rsidRDefault="00AA573E" w:rsidP="00AA573E">
      <w:pPr>
        <w:pStyle w:val="FontBodyRegularNoJustify"/>
        <w:rPr>
          <w:rFonts w:ascii="Arial" w:hAnsi="Arial" w:cs="Arial"/>
          <w:b/>
          <w:color w:val="auto"/>
          <w:w w:val="0"/>
          <w:szCs w:val="24"/>
        </w:rPr>
      </w:pPr>
    </w:p>
    <w:p w14:paraId="5C53A5B8" w14:textId="0AA5C1F8" w:rsidR="00AA573E" w:rsidRPr="00B93F9A" w:rsidRDefault="0044592A" w:rsidP="00AA573E">
      <w:pPr>
        <w:spacing w:after="132" w:line="200" w:lineRule="atLeast"/>
        <w:ind w:right="792"/>
        <w:rPr>
          <w:rFonts w:ascii="Arial" w:eastAsia="Arial" w:hAnsi="Arial" w:cs="Arial"/>
          <w:sz w:val="18"/>
          <w:szCs w:val="18"/>
        </w:rPr>
      </w:pPr>
      <w:r w:rsidRPr="00B93F9A">
        <w:rPr>
          <w:rFonts w:ascii="Arial" w:eastAsia="Helvetica" w:hAnsi="Arial" w:cs="Arial"/>
          <w:b/>
          <w:w w:val="0"/>
          <w:sz w:val="16"/>
        </w:rPr>
        <w:lastRenderedPageBreak/>
        <w:t>The securities are our senior debt securities. Any payments on the securities are fully and unconditionally guaranteed by BAC. The securities and the related guarantee are not insured by the Federal Deposit Insurance Corporation or secured by collateral. The securities will rank equally in right of payment with all of our other unsecured and unsubordinated obligations, except obligations that are subject to any priorities or preferences by law. The related guarantee will rank equally in right of payment with all of BAC’s other unsecured and unsubordinated obligations, except obligations that are subject to any priorities or preferences by law, and senior to its subordinated obligations. Any payments due on the securities, including any repayment of the principal amount, will be subject to the credit risk of BofA Finance, as issuer, and BAC, as guarantor.</w:t>
      </w:r>
    </w:p>
    <w:p w14:paraId="21A2A5B5" w14:textId="77777777" w:rsidR="002C6D14" w:rsidRPr="00DF7ED9" w:rsidRDefault="002C6D14">
      <w:pPr>
        <w:pBdr>
          <w:bottom w:val="single" w:sz="8" w:space="0" w:color="000000"/>
        </w:pBdr>
        <w:spacing w:before="240" w:after="240"/>
        <w:sectPr w:rsidR="002C6D14" w:rsidRPr="00DF7ED9" w:rsidSect="00371BFB">
          <w:headerReference w:type="default" r:id="rId14"/>
          <w:footerReference w:type="default" r:id="rId15"/>
          <w:pgSz w:w="12240" w:h="15840"/>
          <w:pgMar w:top="288" w:right="288" w:bottom="288" w:left="288" w:header="720" w:footer="720" w:gutter="0"/>
          <w:cols w:space="720"/>
        </w:sectPr>
      </w:pPr>
    </w:p>
    <w:p w14:paraId="77BBE3B2" w14:textId="77777777" w:rsidR="002C6D14" w:rsidRPr="00DF7ED9" w:rsidRDefault="00C24AAF" w:rsidP="00CE794F">
      <w:pPr>
        <w:spacing w:after="132" w:line="288" w:lineRule="atLeast"/>
        <w:ind w:right="54"/>
        <w:rPr>
          <w:sz w:val="28"/>
          <w:szCs w:val="28"/>
        </w:rPr>
      </w:pPr>
      <w:r w:rsidRPr="00DF7ED9">
        <w:rPr>
          <w:rFonts w:ascii="Arial" w:eastAsia="Arial" w:hAnsi="Arial" w:cs="Arial"/>
          <w:color w:val="296DC1"/>
          <w:sz w:val="28"/>
          <w:szCs w:val="28"/>
        </w:rPr>
        <w:lastRenderedPageBreak/>
        <w:t>Key Investment Rationale</w:t>
      </w:r>
    </w:p>
    <w:p w14:paraId="7E1B26C9" w14:textId="4880100B" w:rsidR="002C6D14" w:rsidRPr="00DF7ED9" w:rsidRDefault="00C24AAF" w:rsidP="004D5C3A">
      <w:pPr>
        <w:spacing w:after="132" w:line="240" w:lineRule="atLeast"/>
        <w:ind w:right="54"/>
        <w:rPr>
          <w:sz w:val="16"/>
          <w:szCs w:val="16"/>
        </w:rPr>
      </w:pPr>
      <w:r w:rsidRPr="00DF7ED9">
        <w:rPr>
          <w:rFonts w:ascii="Arial" w:eastAsia="Arial" w:hAnsi="Arial" w:cs="Arial"/>
          <w:color w:val="000000"/>
          <w:sz w:val="16"/>
          <w:szCs w:val="16"/>
        </w:rPr>
        <w:t xml:space="preserve">The securities do not guarantee any repayment of principal at maturity and offer investors an opportunity to earn a contingent quarterly coupon of </w:t>
      </w:r>
      <w:r w:rsidR="00A80421">
        <w:rPr>
          <w:rFonts w:ascii="Arial" w:eastAsia="Arial" w:hAnsi="Arial" w:cs="Arial"/>
          <w:color w:val="000000"/>
          <w:sz w:val="16"/>
          <w:szCs w:val="16"/>
        </w:rPr>
        <w:t>$21.375</w:t>
      </w:r>
      <w:r w:rsidR="00B95586" w:rsidRPr="00DF7ED9">
        <w:rPr>
          <w:rFonts w:ascii="Arial" w:eastAsia="Arial" w:hAnsi="Arial" w:cs="Arial"/>
          <w:color w:val="000000"/>
          <w:sz w:val="16"/>
          <w:szCs w:val="16"/>
        </w:rPr>
        <w:t xml:space="preserve"> </w:t>
      </w:r>
      <w:r w:rsidR="0022047E" w:rsidRPr="00DF7ED9">
        <w:rPr>
          <w:rFonts w:ascii="Arial" w:eastAsia="Arial" w:hAnsi="Arial" w:cs="Arial"/>
          <w:color w:val="000000"/>
          <w:sz w:val="16"/>
          <w:szCs w:val="16"/>
        </w:rPr>
        <w:t>per</w:t>
      </w:r>
      <w:r w:rsidR="00CA382B" w:rsidRPr="00DF7ED9">
        <w:rPr>
          <w:rFonts w:ascii="Arial" w:eastAsia="Arial" w:hAnsi="Arial" w:cs="Arial"/>
          <w:color w:val="000000"/>
          <w:sz w:val="16"/>
          <w:szCs w:val="16"/>
        </w:rPr>
        <w:t xml:space="preserve"> security</w:t>
      </w:r>
      <w:r w:rsidR="00EE7D01" w:rsidRPr="00DF7ED9">
        <w:rPr>
          <w:rFonts w:ascii="Arial" w:eastAsia="Arial" w:hAnsi="Arial" w:cs="Arial"/>
          <w:color w:val="000000"/>
          <w:sz w:val="16"/>
          <w:szCs w:val="16"/>
        </w:rPr>
        <w:t xml:space="preserve"> (equal to a rate of </w:t>
      </w:r>
      <w:r w:rsidR="00A80421">
        <w:rPr>
          <w:rFonts w:ascii="Arial" w:eastAsia="Arial" w:hAnsi="Arial" w:cs="Arial"/>
          <w:color w:val="000000"/>
          <w:sz w:val="16"/>
          <w:szCs w:val="16"/>
        </w:rPr>
        <w:t>2.1375%</w:t>
      </w:r>
      <w:r w:rsidR="00EE7D01" w:rsidRPr="00DF7ED9">
        <w:rPr>
          <w:rFonts w:ascii="Arial" w:eastAsia="Arial" w:hAnsi="Arial" w:cs="Arial"/>
          <w:color w:val="000000"/>
          <w:sz w:val="16"/>
          <w:szCs w:val="16"/>
        </w:rPr>
        <w:t xml:space="preserve"> per quarter or </w:t>
      </w:r>
      <w:r w:rsidR="00A80421">
        <w:rPr>
          <w:rFonts w:ascii="Arial" w:eastAsia="Arial" w:hAnsi="Arial" w:cs="Arial"/>
          <w:color w:val="000000"/>
          <w:sz w:val="16"/>
          <w:szCs w:val="16"/>
        </w:rPr>
        <w:t>8.55%</w:t>
      </w:r>
      <w:r w:rsidR="00EE7D01" w:rsidRPr="00DF7ED9">
        <w:rPr>
          <w:rFonts w:ascii="Arial" w:eastAsia="Arial" w:hAnsi="Arial" w:cs="Arial"/>
          <w:color w:val="000000"/>
          <w:sz w:val="16"/>
          <w:szCs w:val="16"/>
        </w:rPr>
        <w:t xml:space="preserve"> per annum) </w:t>
      </w:r>
      <w:r w:rsidRPr="00DF7ED9">
        <w:rPr>
          <w:rFonts w:ascii="Arial" w:eastAsia="Arial" w:hAnsi="Arial" w:cs="Arial"/>
          <w:b/>
          <w:bCs/>
          <w:color w:val="000000"/>
          <w:sz w:val="16"/>
          <w:szCs w:val="16"/>
        </w:rPr>
        <w:t>but only if</w:t>
      </w:r>
      <w:r w:rsidRPr="00DF7ED9">
        <w:rPr>
          <w:rFonts w:ascii="Arial" w:eastAsia="Arial" w:hAnsi="Arial" w:cs="Arial"/>
          <w:color w:val="000000"/>
          <w:sz w:val="16"/>
          <w:szCs w:val="16"/>
        </w:rPr>
        <w:t xml:space="preserve"> the </w:t>
      </w:r>
      <w:r w:rsidR="004B51F0" w:rsidRPr="00DF7ED9">
        <w:rPr>
          <w:rFonts w:ascii="Arial" w:eastAsia="Arial" w:hAnsi="Arial" w:cs="Arial"/>
          <w:color w:val="000000"/>
          <w:sz w:val="16"/>
          <w:szCs w:val="16"/>
        </w:rPr>
        <w:t>index closing value</w:t>
      </w:r>
      <w:r w:rsidRPr="00DF7ED9">
        <w:rPr>
          <w:rFonts w:ascii="Arial" w:eastAsia="Arial" w:hAnsi="Arial" w:cs="Arial"/>
          <w:color w:val="000000"/>
          <w:sz w:val="16"/>
          <w:szCs w:val="16"/>
        </w:rPr>
        <w:t xml:space="preserve"> </w:t>
      </w:r>
      <w:r w:rsidR="00EE7D01" w:rsidRPr="00DF7ED9">
        <w:rPr>
          <w:rFonts w:ascii="Arial" w:eastAsia="Arial" w:hAnsi="Arial" w:cs="Arial"/>
          <w:color w:val="000000"/>
          <w:sz w:val="16"/>
          <w:szCs w:val="16"/>
        </w:rPr>
        <w:t xml:space="preserve">of the </w:t>
      </w:r>
      <w:r w:rsidR="004B51F0" w:rsidRPr="00DF7ED9">
        <w:rPr>
          <w:rFonts w:ascii="Arial" w:eastAsia="Arial" w:hAnsi="Arial" w:cs="Arial"/>
          <w:color w:val="000000"/>
          <w:sz w:val="16"/>
          <w:szCs w:val="16"/>
        </w:rPr>
        <w:t>underlying index</w:t>
      </w:r>
      <w:r w:rsidR="00EE7D01" w:rsidRPr="00DF7ED9">
        <w:rPr>
          <w:rFonts w:ascii="Arial" w:eastAsia="Arial" w:hAnsi="Arial" w:cs="Arial"/>
          <w:color w:val="000000"/>
          <w:sz w:val="16"/>
          <w:szCs w:val="16"/>
        </w:rPr>
        <w:t xml:space="preserve"> </w:t>
      </w:r>
      <w:r w:rsidRPr="00DF7ED9">
        <w:rPr>
          <w:rFonts w:ascii="Arial" w:eastAsia="Arial" w:hAnsi="Arial" w:cs="Arial"/>
          <w:color w:val="000000"/>
          <w:sz w:val="16"/>
          <w:szCs w:val="16"/>
        </w:rPr>
        <w:t xml:space="preserve">on the applicable quarterly observation date is greater than or equal to </w:t>
      </w:r>
      <w:r w:rsidR="00B66851" w:rsidRPr="00DF7ED9">
        <w:rPr>
          <w:rFonts w:ascii="Arial" w:eastAsia="Arial" w:hAnsi="Arial" w:cs="Arial"/>
          <w:color w:val="000000"/>
          <w:sz w:val="16"/>
          <w:szCs w:val="16"/>
        </w:rPr>
        <w:t>80</w:t>
      </w:r>
      <w:r w:rsidR="00D56F33" w:rsidRPr="00DF7ED9">
        <w:rPr>
          <w:rFonts w:ascii="Arial" w:eastAsia="Arial" w:hAnsi="Arial" w:cs="Arial"/>
          <w:color w:val="000000"/>
          <w:sz w:val="16"/>
          <w:szCs w:val="16"/>
        </w:rPr>
        <w:t>%</w:t>
      </w:r>
      <w:r w:rsidRPr="00DF7ED9">
        <w:rPr>
          <w:rFonts w:ascii="Arial" w:eastAsia="Arial" w:hAnsi="Arial" w:cs="Arial"/>
          <w:color w:val="000000"/>
          <w:sz w:val="16"/>
          <w:szCs w:val="16"/>
        </w:rPr>
        <w:t xml:space="preserve"> of the </w:t>
      </w:r>
      <w:r w:rsidR="00B07BDF" w:rsidRPr="00DF7ED9">
        <w:rPr>
          <w:rFonts w:ascii="Arial" w:eastAsia="Arial" w:hAnsi="Arial" w:cs="Arial"/>
          <w:color w:val="000000"/>
          <w:sz w:val="16"/>
          <w:szCs w:val="16"/>
        </w:rPr>
        <w:t>initial index value</w:t>
      </w:r>
      <w:r w:rsidRPr="00DF7ED9">
        <w:rPr>
          <w:rFonts w:ascii="Arial" w:eastAsia="Arial" w:hAnsi="Arial" w:cs="Arial"/>
          <w:color w:val="000000"/>
          <w:sz w:val="16"/>
          <w:szCs w:val="16"/>
        </w:rPr>
        <w:t xml:space="preserve">, which we refer to as the coupon barrier level.  The securities have been designed for investors who seek an opportunity to earn </w:t>
      </w:r>
      <w:r w:rsidR="00EE7D01" w:rsidRPr="00DF7ED9">
        <w:rPr>
          <w:rFonts w:ascii="Arial" w:eastAsia="Arial" w:hAnsi="Arial" w:cs="Arial"/>
          <w:color w:val="000000"/>
          <w:sz w:val="16"/>
          <w:szCs w:val="16"/>
        </w:rPr>
        <w:t>contingent quarterly coupon payments</w:t>
      </w:r>
      <w:r w:rsidRPr="00DF7ED9">
        <w:rPr>
          <w:rFonts w:ascii="Arial" w:eastAsia="Arial" w:hAnsi="Arial" w:cs="Arial"/>
          <w:color w:val="000000"/>
          <w:sz w:val="16"/>
          <w:szCs w:val="16"/>
        </w:rPr>
        <w:t xml:space="preserve"> at a potentially above-market rate in exchange for the risk of losing their principal and the risk of receiving no contingent quarterly coupon when the S&amp;P 500</w:t>
      </w:r>
      <w:r w:rsidRPr="00DF7ED9">
        <w:rPr>
          <w:rFonts w:ascii="Arial" w:eastAsia="Arial" w:hAnsi="Arial" w:cs="Arial"/>
          <w:color w:val="000000"/>
          <w:sz w:val="16"/>
          <w:szCs w:val="16"/>
          <w:vertAlign w:val="superscript"/>
        </w:rPr>
        <w:t>®</w:t>
      </w:r>
      <w:r w:rsidRPr="00DF7ED9">
        <w:rPr>
          <w:rFonts w:ascii="Arial" w:eastAsia="Arial" w:hAnsi="Arial" w:cs="Arial"/>
          <w:color w:val="000000"/>
          <w:sz w:val="16"/>
          <w:szCs w:val="16"/>
        </w:rPr>
        <w:t xml:space="preserve"> Index on the related observation date closes below the coupon barrier level, and the risk of an early redemption of the securities </w:t>
      </w:r>
      <w:r w:rsidR="00EE7D01" w:rsidRPr="00DF7ED9">
        <w:rPr>
          <w:rFonts w:ascii="Arial" w:eastAsia="Arial" w:hAnsi="Arial" w:cs="Arial"/>
          <w:color w:val="000000"/>
          <w:sz w:val="16"/>
          <w:szCs w:val="16"/>
        </w:rPr>
        <w:t>at our discretion</w:t>
      </w:r>
      <w:r w:rsidRPr="00DF7ED9">
        <w:rPr>
          <w:rFonts w:ascii="Arial" w:eastAsia="Arial" w:hAnsi="Arial" w:cs="Arial"/>
          <w:color w:val="000000"/>
          <w:sz w:val="16"/>
          <w:szCs w:val="16"/>
        </w:rPr>
        <w:t xml:space="preserve">.  The following scenarios are for illustrative purposes only to demonstrate how the </w:t>
      </w:r>
      <w:r w:rsidR="00AA573E" w:rsidRPr="00DF7ED9">
        <w:rPr>
          <w:rFonts w:ascii="Arial" w:eastAsia="Arial" w:hAnsi="Arial" w:cs="Arial"/>
          <w:color w:val="000000"/>
          <w:sz w:val="16"/>
          <w:szCs w:val="16"/>
        </w:rPr>
        <w:t xml:space="preserve">contingent </w:t>
      </w:r>
      <w:r w:rsidRPr="00DF7ED9">
        <w:rPr>
          <w:rFonts w:ascii="Arial" w:eastAsia="Arial" w:hAnsi="Arial" w:cs="Arial"/>
          <w:color w:val="000000"/>
          <w:sz w:val="16"/>
          <w:szCs w:val="16"/>
        </w:rPr>
        <w:t xml:space="preserve">coupon and the payment at maturity (if the securities have not previously been redeemed) are calculated, and do not attempt to demonstrate every situation that may occur.  Accordingly, the securities may or may not be redeemed by us </w:t>
      </w:r>
      <w:r w:rsidR="00EE7D01" w:rsidRPr="00DF7ED9">
        <w:rPr>
          <w:rFonts w:ascii="Arial" w:eastAsia="Arial" w:hAnsi="Arial" w:cs="Arial"/>
          <w:color w:val="000000"/>
          <w:sz w:val="16"/>
          <w:szCs w:val="16"/>
        </w:rPr>
        <w:t>at our discretion</w:t>
      </w:r>
      <w:r w:rsidRPr="00DF7ED9">
        <w:rPr>
          <w:rFonts w:ascii="Arial" w:eastAsia="Arial" w:hAnsi="Arial" w:cs="Arial"/>
          <w:color w:val="000000"/>
          <w:sz w:val="16"/>
          <w:szCs w:val="16"/>
        </w:rPr>
        <w:t xml:space="preserve">, the contingent coupon may be payable in none of, or some but not all of, the quarterly periods during the 2-year term of the securities and the payment at maturity may be less than </w:t>
      </w:r>
      <w:r w:rsidR="00B66851" w:rsidRPr="00DF7ED9">
        <w:rPr>
          <w:rFonts w:ascii="Arial" w:eastAsia="Arial" w:hAnsi="Arial" w:cs="Arial"/>
          <w:color w:val="000000"/>
          <w:sz w:val="16"/>
          <w:szCs w:val="16"/>
        </w:rPr>
        <w:t>80</w:t>
      </w:r>
      <w:r w:rsidR="00D56F33" w:rsidRPr="00DF7ED9">
        <w:rPr>
          <w:rFonts w:ascii="Arial" w:eastAsia="Arial" w:hAnsi="Arial" w:cs="Arial"/>
          <w:color w:val="000000"/>
          <w:sz w:val="16"/>
          <w:szCs w:val="16"/>
        </w:rPr>
        <w:t>%</w:t>
      </w:r>
      <w:r w:rsidRPr="00DF7ED9">
        <w:rPr>
          <w:rFonts w:ascii="Arial" w:eastAsia="Arial" w:hAnsi="Arial" w:cs="Arial"/>
          <w:color w:val="000000"/>
          <w:sz w:val="16"/>
          <w:szCs w:val="16"/>
        </w:rPr>
        <w:t xml:space="preserve"> of the stated principal amount of the securities and may be zero.</w:t>
      </w:r>
    </w:p>
    <w:tbl>
      <w:tblPr>
        <w:tblW w:w="5000" w:type="pct"/>
        <w:tblCellSpacing w:w="0" w:type="dxa"/>
        <w:tblCellMar>
          <w:top w:w="15" w:type="dxa"/>
          <w:left w:w="15" w:type="dxa"/>
          <w:bottom w:w="15" w:type="dxa"/>
          <w:right w:w="15" w:type="dxa"/>
        </w:tblCellMar>
        <w:tblLook w:val="04A0" w:firstRow="1" w:lastRow="0" w:firstColumn="1" w:lastColumn="0" w:noHBand="0" w:noVBand="1"/>
      </w:tblPr>
      <w:tblGrid>
        <w:gridCol w:w="3476"/>
        <w:gridCol w:w="8188"/>
      </w:tblGrid>
      <w:tr w:rsidR="00BD53EC" w:rsidRPr="00DF7ED9" w14:paraId="55E44A92" w14:textId="77777777" w:rsidTr="00CE794F">
        <w:trPr>
          <w:cantSplit/>
          <w:tblCellSpacing w:w="0" w:type="dxa"/>
        </w:trPr>
        <w:tc>
          <w:tcPr>
            <w:tcW w:w="1490" w:type="pct"/>
            <w:tcMar>
              <w:top w:w="0" w:type="dxa"/>
              <w:left w:w="0" w:type="dxa"/>
              <w:bottom w:w="0" w:type="dxa"/>
              <w:right w:w="0" w:type="dxa"/>
            </w:tcMar>
            <w:vAlign w:val="center"/>
            <w:hideMark/>
          </w:tcPr>
          <w:p w14:paraId="72ABE86C" w14:textId="77777777" w:rsidR="002C6D14" w:rsidRPr="00DF7ED9" w:rsidRDefault="002C6D14">
            <w:pPr>
              <w:rPr>
                <w:color w:val="000000"/>
                <w:sz w:val="16"/>
                <w:szCs w:val="16"/>
              </w:rPr>
            </w:pPr>
          </w:p>
        </w:tc>
        <w:tc>
          <w:tcPr>
            <w:tcW w:w="3510" w:type="pct"/>
            <w:tcMar>
              <w:top w:w="0" w:type="dxa"/>
              <w:left w:w="0" w:type="dxa"/>
              <w:bottom w:w="0" w:type="dxa"/>
              <w:right w:w="0" w:type="dxa"/>
            </w:tcMar>
            <w:vAlign w:val="center"/>
            <w:hideMark/>
          </w:tcPr>
          <w:p w14:paraId="48007DBB" w14:textId="77777777" w:rsidR="002C6D14" w:rsidRPr="00DF7ED9" w:rsidRDefault="002C6D14">
            <w:pPr>
              <w:rPr>
                <w:color w:val="000000"/>
                <w:sz w:val="16"/>
                <w:szCs w:val="16"/>
              </w:rPr>
            </w:pPr>
          </w:p>
        </w:tc>
      </w:tr>
      <w:tr w:rsidR="00BD53EC" w:rsidRPr="00DF7ED9" w14:paraId="6ED6DC55" w14:textId="77777777" w:rsidTr="00CE794F">
        <w:trPr>
          <w:cantSplit/>
          <w:tblCellSpacing w:w="0" w:type="dxa"/>
        </w:trPr>
        <w:tc>
          <w:tcPr>
            <w:tcW w:w="1490" w:type="pct"/>
            <w:tcBorders>
              <w:top w:val="single" w:sz="12" w:space="0" w:color="FFFFFF"/>
              <w:left w:val="single" w:sz="12" w:space="0" w:color="FFFFFF"/>
              <w:bottom w:val="single" w:sz="12" w:space="0" w:color="FFFFFF"/>
              <w:right w:val="single" w:sz="12" w:space="0" w:color="FFFFFF"/>
            </w:tcBorders>
            <w:shd w:val="clear" w:color="auto" w:fill="DCEBF4"/>
            <w:tcMar>
              <w:top w:w="47" w:type="dxa"/>
              <w:left w:w="79" w:type="dxa"/>
              <w:bottom w:w="47" w:type="dxa"/>
              <w:right w:w="79" w:type="dxa"/>
            </w:tcMar>
            <w:hideMark/>
          </w:tcPr>
          <w:p w14:paraId="320DA280" w14:textId="77777777" w:rsidR="002C6D14" w:rsidRPr="00DF7ED9" w:rsidRDefault="00C24AAF">
            <w:pPr>
              <w:spacing w:before="66" w:after="66" w:line="240" w:lineRule="atLeast"/>
              <w:rPr>
                <w:color w:val="000000"/>
                <w:sz w:val="16"/>
                <w:szCs w:val="16"/>
              </w:rPr>
            </w:pPr>
            <w:r w:rsidRPr="00DF7ED9">
              <w:rPr>
                <w:rFonts w:ascii="Arial" w:eastAsia="Arial" w:hAnsi="Arial" w:cs="Arial"/>
                <w:b/>
                <w:bCs/>
                <w:color w:val="296DC1"/>
                <w:sz w:val="16"/>
                <w:szCs w:val="16"/>
              </w:rPr>
              <w:t xml:space="preserve">Scenario 1: </w:t>
            </w:r>
            <w:r w:rsidRPr="00DF7ED9">
              <w:rPr>
                <w:rFonts w:ascii="Arial" w:eastAsia="Arial" w:hAnsi="Arial" w:cs="Arial"/>
                <w:color w:val="296DC1"/>
                <w:sz w:val="16"/>
                <w:szCs w:val="16"/>
              </w:rPr>
              <w:t>The securities are redeemed prior to maturity.</w:t>
            </w:r>
          </w:p>
        </w:tc>
        <w:tc>
          <w:tcPr>
            <w:tcW w:w="3510" w:type="pct"/>
            <w:tcBorders>
              <w:left w:val="single" w:sz="12" w:space="0" w:color="FFFFFF"/>
            </w:tcBorders>
            <w:shd w:val="clear" w:color="auto" w:fill="FFFFFF"/>
            <w:tcMar>
              <w:top w:w="32" w:type="dxa"/>
              <w:left w:w="79" w:type="dxa"/>
              <w:bottom w:w="32" w:type="dxa"/>
              <w:right w:w="64" w:type="dxa"/>
            </w:tcMar>
            <w:hideMark/>
          </w:tcPr>
          <w:p w14:paraId="501FCBB6" w14:textId="20CBEFD3" w:rsidR="002C6D14" w:rsidRPr="00DF7ED9" w:rsidRDefault="00C24AAF">
            <w:pPr>
              <w:spacing w:after="132" w:line="240" w:lineRule="atLeast"/>
              <w:rPr>
                <w:color w:val="000000"/>
                <w:sz w:val="16"/>
                <w:szCs w:val="16"/>
              </w:rPr>
            </w:pPr>
            <w:r w:rsidRPr="00DF7ED9">
              <w:rPr>
                <w:rFonts w:ascii="Arial" w:eastAsia="Arial" w:hAnsi="Arial" w:cs="Arial"/>
                <w:color w:val="000000"/>
                <w:sz w:val="16"/>
                <w:szCs w:val="16"/>
              </w:rPr>
              <w:t xml:space="preserve">This scenario assumes that we redeem the securities </w:t>
            </w:r>
            <w:r w:rsidR="00EE7D01" w:rsidRPr="00DF7ED9">
              <w:rPr>
                <w:rFonts w:ascii="Arial" w:eastAsia="Arial" w:hAnsi="Arial" w:cs="Arial"/>
                <w:color w:val="000000"/>
                <w:sz w:val="16"/>
                <w:szCs w:val="16"/>
              </w:rPr>
              <w:t>at our discretion</w:t>
            </w:r>
            <w:r w:rsidRPr="00DF7ED9">
              <w:rPr>
                <w:rFonts w:ascii="Arial" w:eastAsia="Arial" w:hAnsi="Arial" w:cs="Arial"/>
                <w:color w:val="000000"/>
                <w:sz w:val="16"/>
                <w:szCs w:val="16"/>
              </w:rPr>
              <w:t xml:space="preserve"> prior to the maturity date on one of the quarterly redemption dates, starting on </w:t>
            </w:r>
            <w:r w:rsidR="00290387">
              <w:rPr>
                <w:rFonts w:ascii="Arial" w:eastAsia="Arial" w:hAnsi="Arial" w:cs="Arial"/>
                <w:color w:val="000000"/>
                <w:sz w:val="16"/>
                <w:szCs w:val="16"/>
              </w:rPr>
              <w:t>May 26, 2026</w:t>
            </w:r>
            <w:r w:rsidRPr="00DF7ED9">
              <w:rPr>
                <w:rFonts w:ascii="Arial" w:eastAsia="Arial" w:hAnsi="Arial" w:cs="Arial"/>
                <w:color w:val="000000"/>
                <w:sz w:val="16"/>
                <w:szCs w:val="16"/>
              </w:rPr>
              <w:t xml:space="preserve">, for </w:t>
            </w:r>
            <w:r w:rsidR="00EE7D01" w:rsidRPr="00DF7ED9">
              <w:rPr>
                <w:rFonts w:ascii="Arial" w:eastAsia="Arial" w:hAnsi="Arial" w:cs="Arial"/>
                <w:color w:val="000000"/>
                <w:sz w:val="16"/>
                <w:szCs w:val="16"/>
              </w:rPr>
              <w:t>a</w:t>
            </w:r>
            <w:r w:rsidRPr="00DF7ED9">
              <w:rPr>
                <w:rFonts w:ascii="Arial" w:eastAsia="Arial" w:hAnsi="Arial" w:cs="Arial"/>
                <w:color w:val="000000"/>
                <w:sz w:val="16"/>
                <w:szCs w:val="16"/>
              </w:rPr>
              <w:t xml:space="preserve"> redemption payment equal to the stated principal amount </w:t>
            </w:r>
            <w:r w:rsidRPr="00DF7ED9">
              <w:rPr>
                <w:rFonts w:ascii="Arial" w:eastAsia="Arial" w:hAnsi="Arial" w:cs="Arial"/>
                <w:i/>
                <w:iCs/>
                <w:color w:val="000000"/>
                <w:sz w:val="16"/>
                <w:szCs w:val="16"/>
              </w:rPr>
              <w:t xml:space="preserve">plus </w:t>
            </w:r>
            <w:r w:rsidRPr="00DF7ED9">
              <w:rPr>
                <w:rFonts w:ascii="Arial" w:eastAsia="Arial" w:hAnsi="Arial" w:cs="Arial"/>
                <w:color w:val="000000"/>
                <w:sz w:val="16"/>
                <w:szCs w:val="16"/>
              </w:rPr>
              <w:t xml:space="preserve">any contingent quarterly coupon </w:t>
            </w:r>
            <w:r w:rsidR="00AA573E" w:rsidRPr="00DF7ED9">
              <w:rPr>
                <w:rFonts w:ascii="Arial" w:eastAsia="Arial" w:hAnsi="Arial" w:cs="Arial"/>
                <w:color w:val="000000"/>
                <w:sz w:val="16"/>
                <w:szCs w:val="16"/>
              </w:rPr>
              <w:t xml:space="preserve">otherwise due </w:t>
            </w:r>
            <w:r w:rsidRPr="00DF7ED9">
              <w:rPr>
                <w:rFonts w:ascii="Arial" w:eastAsia="Arial" w:hAnsi="Arial" w:cs="Arial"/>
                <w:color w:val="000000"/>
                <w:sz w:val="16"/>
                <w:szCs w:val="16"/>
              </w:rPr>
              <w:t xml:space="preserve">with respect to the relevant observation date.  Prior to the early redemption, the </w:t>
            </w:r>
            <w:r w:rsidR="004B51F0" w:rsidRPr="00DF7ED9">
              <w:rPr>
                <w:rFonts w:ascii="Arial" w:eastAsia="Arial" w:hAnsi="Arial" w:cs="Arial"/>
                <w:color w:val="000000"/>
                <w:sz w:val="16"/>
                <w:szCs w:val="16"/>
              </w:rPr>
              <w:t>underlying index</w:t>
            </w:r>
            <w:r w:rsidRPr="00DF7ED9">
              <w:rPr>
                <w:rFonts w:ascii="Arial" w:eastAsia="Arial" w:hAnsi="Arial" w:cs="Arial"/>
                <w:color w:val="000000"/>
                <w:sz w:val="16"/>
                <w:szCs w:val="16"/>
              </w:rPr>
              <w:t xml:space="preserve"> closes at or above the coupon barrier level on some or all of the quarterly observation dates.  In this scenario, investors receive the contingent quarterly coupon with respect to each such observation date, but not for the quarterly periods for which the </w:t>
            </w:r>
            <w:r w:rsidR="004B51F0" w:rsidRPr="00DF7ED9">
              <w:rPr>
                <w:rFonts w:ascii="Arial" w:eastAsia="Arial" w:hAnsi="Arial" w:cs="Arial"/>
                <w:color w:val="000000"/>
                <w:sz w:val="16"/>
                <w:szCs w:val="16"/>
              </w:rPr>
              <w:t>underlying index</w:t>
            </w:r>
            <w:r w:rsidRPr="00DF7ED9">
              <w:rPr>
                <w:rFonts w:ascii="Arial" w:eastAsia="Arial" w:hAnsi="Arial" w:cs="Arial"/>
                <w:color w:val="000000"/>
                <w:sz w:val="16"/>
                <w:szCs w:val="16"/>
              </w:rPr>
              <w:t xml:space="preserve"> closes below the coupon barrier level on the related observation date. No further payments will be made on the securities once they have been redeemed.</w:t>
            </w:r>
          </w:p>
        </w:tc>
      </w:tr>
      <w:tr w:rsidR="00BD53EC" w:rsidRPr="00DF7ED9" w14:paraId="2B11E729" w14:textId="77777777" w:rsidTr="00CE794F">
        <w:trPr>
          <w:cantSplit/>
          <w:tblCellSpacing w:w="0" w:type="dxa"/>
        </w:trPr>
        <w:tc>
          <w:tcPr>
            <w:tcW w:w="1490" w:type="pct"/>
            <w:tcBorders>
              <w:top w:val="single" w:sz="12" w:space="0" w:color="FFFFFF"/>
              <w:left w:val="single" w:sz="12" w:space="0" w:color="FFFFFF"/>
              <w:bottom w:val="single" w:sz="12" w:space="0" w:color="FFFFFF"/>
              <w:right w:val="single" w:sz="12" w:space="0" w:color="FFFFFF"/>
            </w:tcBorders>
            <w:shd w:val="clear" w:color="auto" w:fill="DCEBF4"/>
            <w:tcMar>
              <w:top w:w="47" w:type="dxa"/>
              <w:left w:w="79" w:type="dxa"/>
              <w:bottom w:w="47" w:type="dxa"/>
              <w:right w:w="79" w:type="dxa"/>
            </w:tcMar>
            <w:hideMark/>
          </w:tcPr>
          <w:p w14:paraId="43CF9334" w14:textId="77777777" w:rsidR="002C6D14" w:rsidRPr="00DF7ED9" w:rsidRDefault="00C24AAF">
            <w:pPr>
              <w:spacing w:before="66" w:line="240" w:lineRule="atLeast"/>
              <w:rPr>
                <w:color w:val="000000"/>
                <w:sz w:val="16"/>
                <w:szCs w:val="16"/>
              </w:rPr>
            </w:pPr>
            <w:r w:rsidRPr="00DF7ED9">
              <w:rPr>
                <w:rFonts w:ascii="Arial" w:eastAsia="Arial" w:hAnsi="Arial" w:cs="Arial"/>
                <w:b/>
                <w:bCs/>
                <w:color w:val="296DC1"/>
                <w:sz w:val="16"/>
                <w:szCs w:val="16"/>
              </w:rPr>
              <w:t xml:space="preserve">Scenario 2: </w:t>
            </w:r>
            <w:r w:rsidRPr="00DF7ED9">
              <w:rPr>
                <w:rFonts w:ascii="Arial" w:eastAsia="Arial" w:hAnsi="Arial" w:cs="Arial"/>
                <w:color w:val="296DC1"/>
                <w:sz w:val="16"/>
                <w:szCs w:val="16"/>
              </w:rPr>
              <w:t>The securities are not redeemed prior to maturity, and investors receive principal back at maturity.</w:t>
            </w:r>
          </w:p>
        </w:tc>
        <w:tc>
          <w:tcPr>
            <w:tcW w:w="3510" w:type="pct"/>
            <w:tcBorders>
              <w:left w:val="single" w:sz="12" w:space="0" w:color="FFFFFF"/>
            </w:tcBorders>
            <w:shd w:val="clear" w:color="auto" w:fill="FFFFFF"/>
            <w:tcMar>
              <w:top w:w="32" w:type="dxa"/>
              <w:left w:w="79" w:type="dxa"/>
              <w:bottom w:w="32" w:type="dxa"/>
              <w:right w:w="64" w:type="dxa"/>
            </w:tcMar>
            <w:hideMark/>
          </w:tcPr>
          <w:p w14:paraId="0D4F0224" w14:textId="6E2B9FEC" w:rsidR="002C6D14" w:rsidRPr="00DF7ED9" w:rsidRDefault="00C24AAF">
            <w:pPr>
              <w:spacing w:line="240" w:lineRule="atLeast"/>
              <w:rPr>
                <w:color w:val="000000"/>
                <w:sz w:val="16"/>
                <w:szCs w:val="16"/>
              </w:rPr>
            </w:pPr>
            <w:r w:rsidRPr="00DF7ED9">
              <w:rPr>
                <w:rFonts w:ascii="Arial" w:eastAsia="Arial" w:hAnsi="Arial" w:cs="Arial"/>
                <w:color w:val="000000"/>
                <w:sz w:val="16"/>
                <w:szCs w:val="16"/>
              </w:rPr>
              <w:t xml:space="preserve">This scenario assumes that we do not redeem the securities on any of the quarterly redemption dates, and, as a result, investors hold the securities to maturity.  During the term of the securities, the </w:t>
            </w:r>
            <w:r w:rsidR="004B51F0" w:rsidRPr="00DF7ED9">
              <w:rPr>
                <w:rFonts w:ascii="Arial" w:eastAsia="Arial" w:hAnsi="Arial" w:cs="Arial"/>
                <w:color w:val="000000"/>
                <w:sz w:val="16"/>
                <w:szCs w:val="16"/>
              </w:rPr>
              <w:t>underlying index</w:t>
            </w:r>
            <w:r w:rsidRPr="00DF7ED9">
              <w:rPr>
                <w:rFonts w:ascii="Arial" w:eastAsia="Arial" w:hAnsi="Arial" w:cs="Arial"/>
                <w:color w:val="000000"/>
                <w:sz w:val="16"/>
                <w:szCs w:val="16"/>
              </w:rPr>
              <w:t xml:space="preserve"> closes at or above the coupon barrier level on some quarterly observation dates and below the coupon barrier level on the others.  Consequently, investors receive the contingent quarterly coupon for the quarterly periods for which the </w:t>
            </w:r>
            <w:r w:rsidR="004B51F0" w:rsidRPr="00DF7ED9">
              <w:rPr>
                <w:rFonts w:ascii="Arial" w:eastAsia="Arial" w:hAnsi="Arial" w:cs="Arial"/>
                <w:color w:val="000000"/>
                <w:sz w:val="16"/>
                <w:szCs w:val="16"/>
              </w:rPr>
              <w:t>index closing value</w:t>
            </w:r>
            <w:r w:rsidRPr="00DF7ED9">
              <w:rPr>
                <w:rFonts w:ascii="Arial" w:eastAsia="Arial" w:hAnsi="Arial" w:cs="Arial"/>
                <w:color w:val="000000"/>
                <w:sz w:val="16"/>
                <w:szCs w:val="16"/>
              </w:rPr>
              <w:t xml:space="preserve"> </w:t>
            </w:r>
            <w:r w:rsidR="00EE7D01" w:rsidRPr="00DF7ED9">
              <w:rPr>
                <w:rFonts w:ascii="Arial" w:eastAsia="Arial" w:hAnsi="Arial" w:cs="Arial"/>
                <w:color w:val="000000"/>
                <w:sz w:val="16"/>
                <w:szCs w:val="16"/>
              </w:rPr>
              <w:t xml:space="preserve">of the </w:t>
            </w:r>
            <w:r w:rsidR="004B51F0" w:rsidRPr="00DF7ED9">
              <w:rPr>
                <w:rFonts w:ascii="Arial" w:eastAsia="Arial" w:hAnsi="Arial" w:cs="Arial"/>
                <w:color w:val="000000"/>
                <w:sz w:val="16"/>
                <w:szCs w:val="16"/>
              </w:rPr>
              <w:t>underlying index</w:t>
            </w:r>
            <w:r w:rsidR="00EE7D01" w:rsidRPr="00DF7ED9">
              <w:rPr>
                <w:rFonts w:ascii="Arial" w:eastAsia="Arial" w:hAnsi="Arial" w:cs="Arial"/>
                <w:color w:val="000000"/>
                <w:sz w:val="16"/>
                <w:szCs w:val="16"/>
              </w:rPr>
              <w:t xml:space="preserve"> </w:t>
            </w:r>
            <w:r w:rsidRPr="00DF7ED9">
              <w:rPr>
                <w:rFonts w:ascii="Arial" w:eastAsia="Arial" w:hAnsi="Arial" w:cs="Arial"/>
                <w:color w:val="000000"/>
                <w:sz w:val="16"/>
                <w:szCs w:val="16"/>
              </w:rPr>
              <w:t xml:space="preserve">is at or above the coupon barrier level on the related observation date, but not for the quarterly periods for which the </w:t>
            </w:r>
            <w:r w:rsidR="004B51F0" w:rsidRPr="00DF7ED9">
              <w:rPr>
                <w:rFonts w:ascii="Arial" w:eastAsia="Arial" w:hAnsi="Arial" w:cs="Arial"/>
                <w:color w:val="000000"/>
                <w:sz w:val="16"/>
                <w:szCs w:val="16"/>
              </w:rPr>
              <w:t>index closing value</w:t>
            </w:r>
            <w:r w:rsidRPr="00DF7ED9">
              <w:rPr>
                <w:rFonts w:ascii="Arial" w:eastAsia="Arial" w:hAnsi="Arial" w:cs="Arial"/>
                <w:color w:val="000000"/>
                <w:sz w:val="16"/>
                <w:szCs w:val="16"/>
              </w:rPr>
              <w:t xml:space="preserve"> </w:t>
            </w:r>
            <w:r w:rsidR="00EE7D01" w:rsidRPr="00DF7ED9">
              <w:rPr>
                <w:rFonts w:ascii="Arial" w:eastAsia="Arial" w:hAnsi="Arial" w:cs="Arial"/>
                <w:color w:val="000000"/>
                <w:sz w:val="16"/>
                <w:szCs w:val="16"/>
              </w:rPr>
              <w:t xml:space="preserve">of the </w:t>
            </w:r>
            <w:r w:rsidR="004B51F0" w:rsidRPr="00DF7ED9">
              <w:rPr>
                <w:rFonts w:ascii="Arial" w:eastAsia="Arial" w:hAnsi="Arial" w:cs="Arial"/>
                <w:color w:val="000000"/>
                <w:sz w:val="16"/>
                <w:szCs w:val="16"/>
              </w:rPr>
              <w:t>underlying index</w:t>
            </w:r>
            <w:r w:rsidR="00EE7D01" w:rsidRPr="00DF7ED9">
              <w:rPr>
                <w:rFonts w:ascii="Arial" w:eastAsia="Arial" w:hAnsi="Arial" w:cs="Arial"/>
                <w:color w:val="000000"/>
                <w:sz w:val="16"/>
                <w:szCs w:val="16"/>
              </w:rPr>
              <w:t xml:space="preserve"> </w:t>
            </w:r>
            <w:r w:rsidRPr="00DF7ED9">
              <w:rPr>
                <w:rFonts w:ascii="Arial" w:eastAsia="Arial" w:hAnsi="Arial" w:cs="Arial"/>
                <w:color w:val="000000"/>
                <w:sz w:val="16"/>
                <w:szCs w:val="16"/>
              </w:rPr>
              <w:t xml:space="preserve">is below the coupon barrier level on the related observation date. On the final observation date, the </w:t>
            </w:r>
            <w:r w:rsidR="004B51F0" w:rsidRPr="00DF7ED9">
              <w:rPr>
                <w:rFonts w:ascii="Arial" w:eastAsia="Arial" w:hAnsi="Arial" w:cs="Arial"/>
                <w:color w:val="000000"/>
                <w:sz w:val="16"/>
                <w:szCs w:val="16"/>
              </w:rPr>
              <w:t>underlying index</w:t>
            </w:r>
            <w:r w:rsidRPr="00DF7ED9">
              <w:rPr>
                <w:rFonts w:ascii="Arial" w:eastAsia="Arial" w:hAnsi="Arial" w:cs="Arial"/>
                <w:color w:val="000000"/>
                <w:sz w:val="16"/>
                <w:szCs w:val="16"/>
              </w:rPr>
              <w:t xml:space="preserve"> closes at or above the downside threshold level. Therefore, at maturity investors will receive the stated principal amount and the contingent quarterly coupon with respect to the final observation date.</w:t>
            </w:r>
          </w:p>
        </w:tc>
      </w:tr>
      <w:tr w:rsidR="00BD53EC" w:rsidRPr="00DF7ED9" w14:paraId="58097022" w14:textId="77777777" w:rsidTr="00CE794F">
        <w:trPr>
          <w:cantSplit/>
          <w:tblCellSpacing w:w="0" w:type="dxa"/>
        </w:trPr>
        <w:tc>
          <w:tcPr>
            <w:tcW w:w="1490" w:type="pct"/>
            <w:tcBorders>
              <w:top w:val="single" w:sz="12" w:space="0" w:color="FFFFFF"/>
              <w:left w:val="single" w:sz="12" w:space="0" w:color="FFFFFF"/>
              <w:bottom w:val="single" w:sz="12" w:space="0" w:color="FFFFFF"/>
              <w:right w:val="single" w:sz="12" w:space="0" w:color="FFFFFF"/>
            </w:tcBorders>
            <w:shd w:val="clear" w:color="auto" w:fill="DCEBF4"/>
            <w:tcMar>
              <w:top w:w="47" w:type="dxa"/>
              <w:left w:w="79" w:type="dxa"/>
              <w:bottom w:w="47" w:type="dxa"/>
              <w:right w:w="79" w:type="dxa"/>
            </w:tcMar>
            <w:hideMark/>
          </w:tcPr>
          <w:p w14:paraId="68DDDFB1" w14:textId="77777777" w:rsidR="002C6D14" w:rsidRPr="00DF7ED9" w:rsidRDefault="00C24AAF">
            <w:pPr>
              <w:spacing w:before="66" w:after="66" w:line="240" w:lineRule="atLeast"/>
              <w:rPr>
                <w:color w:val="000000"/>
                <w:sz w:val="16"/>
                <w:szCs w:val="16"/>
              </w:rPr>
            </w:pPr>
            <w:r w:rsidRPr="00DF7ED9">
              <w:rPr>
                <w:rFonts w:ascii="Arial" w:eastAsia="Arial" w:hAnsi="Arial" w:cs="Arial"/>
                <w:b/>
                <w:bCs/>
                <w:color w:val="296DC1"/>
                <w:sz w:val="16"/>
                <w:szCs w:val="16"/>
              </w:rPr>
              <w:t xml:space="preserve">Scenario 3: </w:t>
            </w:r>
            <w:r w:rsidRPr="00DF7ED9">
              <w:rPr>
                <w:rFonts w:ascii="Arial" w:eastAsia="Arial" w:hAnsi="Arial" w:cs="Arial"/>
                <w:color w:val="296DC1"/>
                <w:sz w:val="16"/>
                <w:szCs w:val="16"/>
              </w:rPr>
              <w:t>The securities are not redeemed prior to maturity, and investors suffer a substantial loss of principal at maturity.</w:t>
            </w:r>
          </w:p>
        </w:tc>
        <w:tc>
          <w:tcPr>
            <w:tcW w:w="3510" w:type="pct"/>
            <w:tcBorders>
              <w:left w:val="single" w:sz="12" w:space="0" w:color="FFFFFF"/>
            </w:tcBorders>
            <w:shd w:val="clear" w:color="auto" w:fill="FFFFFF"/>
            <w:tcMar>
              <w:top w:w="32" w:type="dxa"/>
              <w:left w:w="79" w:type="dxa"/>
              <w:bottom w:w="32" w:type="dxa"/>
              <w:right w:w="64" w:type="dxa"/>
            </w:tcMar>
            <w:vAlign w:val="center"/>
            <w:hideMark/>
          </w:tcPr>
          <w:p w14:paraId="22DB744D" w14:textId="76418D74" w:rsidR="002C6D14" w:rsidRPr="00DF7ED9" w:rsidRDefault="00C24AAF">
            <w:pPr>
              <w:spacing w:line="240" w:lineRule="atLeast"/>
              <w:rPr>
                <w:color w:val="000000"/>
                <w:sz w:val="16"/>
                <w:szCs w:val="16"/>
              </w:rPr>
            </w:pPr>
            <w:r w:rsidRPr="00DF7ED9">
              <w:rPr>
                <w:rFonts w:ascii="Arial" w:eastAsia="Arial" w:hAnsi="Arial" w:cs="Arial"/>
                <w:color w:val="000000"/>
                <w:sz w:val="16"/>
                <w:szCs w:val="16"/>
              </w:rPr>
              <w:t xml:space="preserve">This scenario assumes that we do not redeem the securities on any of the quarterly redemption dates, and, as a result, investors hold the securities to maturity. During the term of the securities, the </w:t>
            </w:r>
            <w:r w:rsidR="004B51F0" w:rsidRPr="00DF7ED9">
              <w:rPr>
                <w:rFonts w:ascii="Arial" w:eastAsia="Arial" w:hAnsi="Arial" w:cs="Arial"/>
                <w:color w:val="000000"/>
                <w:sz w:val="16"/>
                <w:szCs w:val="16"/>
              </w:rPr>
              <w:t>underlying index</w:t>
            </w:r>
            <w:r w:rsidRPr="00DF7ED9">
              <w:rPr>
                <w:rFonts w:ascii="Arial" w:eastAsia="Arial" w:hAnsi="Arial" w:cs="Arial"/>
                <w:color w:val="000000"/>
                <w:sz w:val="16"/>
                <w:szCs w:val="16"/>
              </w:rPr>
              <w:t xml:space="preserve"> closes below the coupon barrier level on all or nearly all of the quarterly observation dates.  In this scenario, investors do not receive any contingent quarterly coupons, or receive contingent quarterly coupons for only a limited number of coupon payment dates. On the final observation date, the </w:t>
            </w:r>
            <w:r w:rsidR="004B51F0" w:rsidRPr="00DF7ED9">
              <w:rPr>
                <w:rFonts w:ascii="Arial" w:eastAsia="Arial" w:hAnsi="Arial" w:cs="Arial"/>
                <w:color w:val="000000"/>
                <w:sz w:val="16"/>
                <w:szCs w:val="16"/>
              </w:rPr>
              <w:t>underlying index</w:t>
            </w:r>
            <w:r w:rsidRPr="00DF7ED9">
              <w:rPr>
                <w:rFonts w:ascii="Arial" w:eastAsia="Arial" w:hAnsi="Arial" w:cs="Arial"/>
                <w:color w:val="000000"/>
                <w:sz w:val="16"/>
                <w:szCs w:val="16"/>
              </w:rPr>
              <w:t xml:space="preserve"> closes below the downside threshold level.  Therefore, investors receive an amount equal to the stated principal amount multiplied by the index performance factor at maturity.  Under these circumstances, the payment at maturity will be less than </w:t>
            </w:r>
            <w:r w:rsidR="00B66851" w:rsidRPr="00DF7ED9">
              <w:rPr>
                <w:rFonts w:ascii="Arial" w:eastAsia="Arial" w:hAnsi="Arial" w:cs="Arial"/>
                <w:color w:val="000000"/>
                <w:sz w:val="16"/>
                <w:szCs w:val="16"/>
              </w:rPr>
              <w:t>80</w:t>
            </w:r>
            <w:r w:rsidR="00D56F33" w:rsidRPr="00DF7ED9">
              <w:rPr>
                <w:rFonts w:ascii="Arial" w:eastAsia="Arial" w:hAnsi="Arial" w:cs="Arial"/>
                <w:color w:val="000000"/>
                <w:sz w:val="16"/>
                <w:szCs w:val="16"/>
              </w:rPr>
              <w:t>%</w:t>
            </w:r>
            <w:r w:rsidRPr="00DF7ED9">
              <w:rPr>
                <w:rFonts w:ascii="Arial" w:eastAsia="Arial" w:hAnsi="Arial" w:cs="Arial"/>
                <w:color w:val="000000"/>
                <w:sz w:val="16"/>
                <w:szCs w:val="16"/>
              </w:rPr>
              <w:t xml:space="preserve"> of the stated principal amount and could be zero.  No coupon will be paid at maturity in this scenario. </w:t>
            </w:r>
          </w:p>
        </w:tc>
      </w:tr>
    </w:tbl>
    <w:p w14:paraId="7D1FB119" w14:textId="77777777" w:rsidR="002C6D14" w:rsidRPr="00DF7ED9" w:rsidRDefault="002C6D14">
      <w:pPr>
        <w:pBdr>
          <w:bottom w:val="single" w:sz="8" w:space="0" w:color="000000"/>
        </w:pBdr>
        <w:spacing w:before="240" w:after="240"/>
        <w:sectPr w:rsidR="002C6D14" w:rsidRPr="00DF7ED9" w:rsidSect="00371BFB">
          <w:pgSz w:w="12240" w:h="15840"/>
          <w:pgMar w:top="288" w:right="288" w:bottom="288" w:left="288" w:header="720" w:footer="720" w:gutter="0"/>
          <w:cols w:space="720"/>
        </w:sectPr>
      </w:pPr>
    </w:p>
    <w:p w14:paraId="43DA09BD" w14:textId="653F1E01" w:rsidR="002C6D14" w:rsidRPr="00DF7ED9" w:rsidRDefault="00C24AAF" w:rsidP="00CE794F">
      <w:pPr>
        <w:spacing w:after="220" w:line="288" w:lineRule="atLeast"/>
        <w:ind w:left="792" w:right="792" w:hanging="792"/>
        <w:rPr>
          <w:sz w:val="28"/>
          <w:szCs w:val="28"/>
        </w:rPr>
      </w:pPr>
      <w:r w:rsidRPr="00DF7ED9">
        <w:rPr>
          <w:rFonts w:ascii="Arial" w:eastAsia="Arial" w:hAnsi="Arial" w:cs="Arial"/>
          <w:color w:val="296DC1"/>
          <w:sz w:val="28"/>
          <w:szCs w:val="28"/>
        </w:rPr>
        <w:lastRenderedPageBreak/>
        <w:t>S&amp;P 500</w:t>
      </w:r>
      <w:r w:rsidRPr="00DF7ED9">
        <w:rPr>
          <w:rFonts w:ascii="Arial" w:eastAsia="Arial" w:hAnsi="Arial" w:cs="Arial"/>
          <w:color w:val="296DC1"/>
          <w:sz w:val="28"/>
          <w:szCs w:val="28"/>
          <w:vertAlign w:val="superscript"/>
        </w:rPr>
        <w:t>®</w:t>
      </w:r>
      <w:r w:rsidRPr="00DF7ED9">
        <w:rPr>
          <w:rFonts w:ascii="Arial" w:eastAsia="Arial" w:hAnsi="Arial" w:cs="Arial"/>
          <w:color w:val="296DC1"/>
          <w:sz w:val="28"/>
          <w:szCs w:val="28"/>
        </w:rPr>
        <w:t xml:space="preserve"> Index Summary</w:t>
      </w:r>
    </w:p>
    <w:p w14:paraId="1EB462AA" w14:textId="7C0CCA2B" w:rsidR="00EE7D01" w:rsidRPr="00DF7ED9" w:rsidRDefault="00C24AAF" w:rsidP="00CE794F">
      <w:pPr>
        <w:spacing w:after="160"/>
        <w:ind w:right="58"/>
        <w:rPr>
          <w:rFonts w:ascii="Arial" w:eastAsia="Arial" w:hAnsi="Arial" w:cs="Arial"/>
          <w:color w:val="000000"/>
          <w:sz w:val="16"/>
          <w:szCs w:val="16"/>
        </w:rPr>
      </w:pPr>
      <w:r w:rsidRPr="00DF7ED9">
        <w:rPr>
          <w:rFonts w:ascii="Arial" w:eastAsia="Arial" w:hAnsi="Arial" w:cs="Arial"/>
          <w:color w:val="000000"/>
          <w:sz w:val="16"/>
          <w:szCs w:val="16"/>
        </w:rPr>
        <w:t xml:space="preserve">All disclosures contained in this pricing supplement regarding the </w:t>
      </w:r>
      <w:r w:rsidR="004B51F0" w:rsidRPr="00DF7ED9">
        <w:rPr>
          <w:rFonts w:ascii="Arial" w:eastAsia="Arial" w:hAnsi="Arial" w:cs="Arial"/>
          <w:color w:val="000000"/>
          <w:sz w:val="16"/>
          <w:szCs w:val="16"/>
        </w:rPr>
        <w:t>underlying index</w:t>
      </w:r>
      <w:r w:rsidRPr="00DF7ED9">
        <w:rPr>
          <w:rFonts w:ascii="Arial" w:eastAsia="Arial" w:hAnsi="Arial" w:cs="Arial"/>
          <w:color w:val="000000"/>
          <w:sz w:val="16"/>
          <w:szCs w:val="16"/>
        </w:rPr>
        <w:t>, including, without limitation, its make-up, method of calculation, and changes in its components, have been derived from publicly available sources. The information reflects the policies of, and is subject to change by, the sponsor of the SPX (the “</w:t>
      </w:r>
      <w:r w:rsidR="004B51F0" w:rsidRPr="00DF7ED9">
        <w:rPr>
          <w:rFonts w:ascii="Arial" w:eastAsia="Arial" w:hAnsi="Arial" w:cs="Arial"/>
          <w:color w:val="000000"/>
          <w:sz w:val="16"/>
          <w:szCs w:val="16"/>
        </w:rPr>
        <w:t>underlying index</w:t>
      </w:r>
      <w:r w:rsidRPr="00DF7ED9">
        <w:rPr>
          <w:rFonts w:ascii="Arial" w:eastAsia="Arial" w:hAnsi="Arial" w:cs="Arial"/>
          <w:color w:val="000000"/>
          <w:sz w:val="16"/>
          <w:szCs w:val="16"/>
        </w:rPr>
        <w:t xml:space="preserve"> sponsor”). The </w:t>
      </w:r>
      <w:r w:rsidR="004B51F0" w:rsidRPr="00DF7ED9">
        <w:rPr>
          <w:rFonts w:ascii="Arial" w:eastAsia="Arial" w:hAnsi="Arial" w:cs="Arial"/>
          <w:color w:val="000000"/>
          <w:sz w:val="16"/>
          <w:szCs w:val="16"/>
        </w:rPr>
        <w:t>underlying index</w:t>
      </w:r>
      <w:r w:rsidRPr="00DF7ED9">
        <w:rPr>
          <w:rFonts w:ascii="Arial" w:eastAsia="Arial" w:hAnsi="Arial" w:cs="Arial"/>
          <w:color w:val="000000"/>
          <w:sz w:val="16"/>
          <w:szCs w:val="16"/>
        </w:rPr>
        <w:t xml:space="preserve"> sponsor, which licenses the copyright and all other rights to the </w:t>
      </w:r>
      <w:r w:rsidR="004B51F0" w:rsidRPr="00DF7ED9">
        <w:rPr>
          <w:rFonts w:ascii="Arial" w:eastAsia="Arial" w:hAnsi="Arial" w:cs="Arial"/>
          <w:color w:val="000000"/>
          <w:sz w:val="16"/>
          <w:szCs w:val="16"/>
        </w:rPr>
        <w:t>underlying index</w:t>
      </w:r>
      <w:r w:rsidRPr="00DF7ED9">
        <w:rPr>
          <w:rFonts w:ascii="Arial" w:eastAsia="Arial" w:hAnsi="Arial" w:cs="Arial"/>
          <w:color w:val="000000"/>
          <w:sz w:val="16"/>
          <w:szCs w:val="16"/>
        </w:rPr>
        <w:t xml:space="preserve">, has no obligation to continue to publish, and may discontinue publication of, the </w:t>
      </w:r>
      <w:r w:rsidR="004B51F0" w:rsidRPr="00DF7ED9">
        <w:rPr>
          <w:rFonts w:ascii="Arial" w:eastAsia="Arial" w:hAnsi="Arial" w:cs="Arial"/>
          <w:color w:val="000000"/>
          <w:sz w:val="16"/>
          <w:szCs w:val="16"/>
        </w:rPr>
        <w:t>underlying index</w:t>
      </w:r>
      <w:r w:rsidRPr="00DF7ED9">
        <w:rPr>
          <w:rFonts w:ascii="Arial" w:eastAsia="Arial" w:hAnsi="Arial" w:cs="Arial"/>
          <w:color w:val="000000"/>
          <w:sz w:val="16"/>
          <w:szCs w:val="16"/>
        </w:rPr>
        <w:t xml:space="preserve">. The consequences of the </w:t>
      </w:r>
      <w:r w:rsidR="004B51F0" w:rsidRPr="00DF7ED9">
        <w:rPr>
          <w:rFonts w:ascii="Arial" w:eastAsia="Arial" w:hAnsi="Arial" w:cs="Arial"/>
          <w:color w:val="000000"/>
          <w:sz w:val="16"/>
          <w:szCs w:val="16"/>
        </w:rPr>
        <w:t>underlying index</w:t>
      </w:r>
      <w:r w:rsidRPr="00DF7ED9">
        <w:rPr>
          <w:rFonts w:ascii="Arial" w:eastAsia="Arial" w:hAnsi="Arial" w:cs="Arial"/>
          <w:color w:val="000000"/>
          <w:sz w:val="16"/>
          <w:szCs w:val="16"/>
        </w:rPr>
        <w:t xml:space="preserve"> sponsor discontinuing publication of the </w:t>
      </w:r>
      <w:r w:rsidR="004B51F0" w:rsidRPr="00DF7ED9">
        <w:rPr>
          <w:rFonts w:ascii="Arial" w:eastAsia="Arial" w:hAnsi="Arial" w:cs="Arial"/>
          <w:color w:val="000000"/>
          <w:sz w:val="16"/>
          <w:szCs w:val="16"/>
        </w:rPr>
        <w:t>underlying index</w:t>
      </w:r>
      <w:r w:rsidRPr="00DF7ED9">
        <w:rPr>
          <w:rFonts w:ascii="Arial" w:eastAsia="Arial" w:hAnsi="Arial" w:cs="Arial"/>
          <w:color w:val="000000"/>
          <w:sz w:val="16"/>
          <w:szCs w:val="16"/>
        </w:rPr>
        <w:t xml:space="preserve"> are discussed in “Description of the Notes — Discontinuance of an Index” in the accompanying product supplement. None of us, the guarantor, the calculation agent, or BofAS accepts any responsibility for the calculation, maintenance or publication of the </w:t>
      </w:r>
      <w:r w:rsidR="004B51F0" w:rsidRPr="00DF7ED9">
        <w:rPr>
          <w:rFonts w:ascii="Arial" w:eastAsia="Arial" w:hAnsi="Arial" w:cs="Arial"/>
          <w:color w:val="000000"/>
          <w:sz w:val="16"/>
          <w:szCs w:val="16"/>
        </w:rPr>
        <w:t>underlying index</w:t>
      </w:r>
      <w:r w:rsidRPr="00DF7ED9">
        <w:rPr>
          <w:rFonts w:ascii="Arial" w:eastAsia="Arial" w:hAnsi="Arial" w:cs="Arial"/>
          <w:color w:val="000000"/>
          <w:sz w:val="16"/>
          <w:szCs w:val="16"/>
        </w:rPr>
        <w:t xml:space="preserve"> or any successor index. None of us, the </w:t>
      </w:r>
      <w:r w:rsidR="00892B72" w:rsidRPr="00DF7ED9">
        <w:rPr>
          <w:rFonts w:ascii="Arial" w:eastAsia="Arial" w:hAnsi="Arial" w:cs="Arial"/>
          <w:color w:val="000000"/>
          <w:sz w:val="16"/>
          <w:szCs w:val="16"/>
        </w:rPr>
        <w:t>g</w:t>
      </w:r>
      <w:r w:rsidRPr="00DF7ED9">
        <w:rPr>
          <w:rFonts w:ascii="Arial" w:eastAsia="Arial" w:hAnsi="Arial" w:cs="Arial"/>
          <w:color w:val="000000"/>
          <w:sz w:val="16"/>
          <w:szCs w:val="16"/>
        </w:rPr>
        <w:t xml:space="preserve">uarantor, BofAS or any of our other affiliates makes any representation to you as to the future performance of the </w:t>
      </w:r>
      <w:r w:rsidR="004B51F0" w:rsidRPr="00DF7ED9">
        <w:rPr>
          <w:rFonts w:ascii="Arial" w:eastAsia="Arial" w:hAnsi="Arial" w:cs="Arial"/>
          <w:color w:val="000000"/>
          <w:sz w:val="16"/>
          <w:szCs w:val="16"/>
        </w:rPr>
        <w:t>underlying index</w:t>
      </w:r>
      <w:r w:rsidRPr="00DF7ED9">
        <w:rPr>
          <w:rFonts w:ascii="Arial" w:eastAsia="Arial" w:hAnsi="Arial" w:cs="Arial"/>
          <w:color w:val="000000"/>
          <w:sz w:val="16"/>
          <w:szCs w:val="16"/>
        </w:rPr>
        <w:t xml:space="preserve">. You should make your own investigation into the </w:t>
      </w:r>
      <w:r w:rsidR="004B51F0" w:rsidRPr="00DF7ED9">
        <w:rPr>
          <w:rFonts w:ascii="Arial" w:eastAsia="Arial" w:hAnsi="Arial" w:cs="Arial"/>
          <w:color w:val="000000"/>
          <w:sz w:val="16"/>
          <w:szCs w:val="16"/>
        </w:rPr>
        <w:t>underlying index</w:t>
      </w:r>
      <w:r w:rsidRPr="00DF7ED9">
        <w:rPr>
          <w:rFonts w:ascii="Arial" w:eastAsia="Arial" w:hAnsi="Arial" w:cs="Arial"/>
          <w:color w:val="000000"/>
          <w:sz w:val="16"/>
          <w:szCs w:val="16"/>
        </w:rPr>
        <w:t>.</w:t>
      </w:r>
    </w:p>
    <w:p w14:paraId="11B4CECE" w14:textId="606E7FFD" w:rsidR="007D31AA" w:rsidRPr="00DF7ED9" w:rsidRDefault="007D31AA" w:rsidP="00CE794F">
      <w:pPr>
        <w:spacing w:after="160"/>
        <w:ind w:right="58"/>
        <w:rPr>
          <w:rFonts w:ascii="Arial" w:eastAsia="Arial" w:hAnsi="Arial" w:cs="Arial"/>
          <w:color w:val="000000"/>
          <w:sz w:val="16"/>
          <w:szCs w:val="16"/>
        </w:rPr>
      </w:pPr>
      <w:r w:rsidRPr="00DF7ED9">
        <w:rPr>
          <w:rFonts w:ascii="Arial" w:eastAsia="Arial" w:hAnsi="Arial" w:cs="Arial"/>
          <w:color w:val="000000"/>
          <w:sz w:val="16"/>
          <w:szCs w:val="16"/>
        </w:rPr>
        <w:t>The SPX includes a representative sample of 500 companies in leading industries of the U.S. economy. The SPX is intended to provide an indication of the pattern of common stock price movement. The calculation of the level of the SPX is based on the relative value of the aggregate market value of the common stocks of 500 companies as of a particular time compared to the aggregate average market value of the common stocks of 500 similar companies during the base period of the years 1941 through 1943.</w:t>
      </w:r>
    </w:p>
    <w:p w14:paraId="0939E6C8" w14:textId="1072D95F" w:rsidR="00892B72" w:rsidRPr="00DF7ED9" w:rsidRDefault="00C24AAF" w:rsidP="00CE794F">
      <w:pPr>
        <w:spacing w:after="160"/>
        <w:ind w:right="58"/>
        <w:rPr>
          <w:sz w:val="16"/>
          <w:szCs w:val="16"/>
        </w:rPr>
      </w:pPr>
      <w:r w:rsidRPr="00DF7ED9">
        <w:rPr>
          <w:rFonts w:ascii="Arial" w:eastAsia="Arial" w:hAnsi="Arial" w:cs="Arial"/>
          <w:color w:val="000000"/>
          <w:sz w:val="16"/>
          <w:szCs w:val="16"/>
        </w:rPr>
        <w:t xml:space="preserve">Information as of market close on </w:t>
      </w:r>
      <w:r w:rsidR="00DE6B5C">
        <w:rPr>
          <w:rFonts w:ascii="Arial" w:eastAsia="Arial" w:hAnsi="Arial" w:cs="Arial"/>
          <w:color w:val="000000"/>
          <w:sz w:val="16"/>
          <w:szCs w:val="16"/>
        </w:rPr>
        <w:t xml:space="preserve">February </w:t>
      </w:r>
      <w:r w:rsidR="000508AD">
        <w:rPr>
          <w:rFonts w:ascii="Arial" w:eastAsia="Arial" w:hAnsi="Arial" w:cs="Arial"/>
          <w:color w:val="000000"/>
          <w:sz w:val="16"/>
          <w:szCs w:val="16"/>
        </w:rPr>
        <w:t>20</w:t>
      </w:r>
      <w:r w:rsidR="00376291">
        <w:rPr>
          <w:rFonts w:ascii="Arial" w:eastAsia="Arial" w:hAnsi="Arial" w:cs="Arial"/>
          <w:color w:val="000000"/>
          <w:sz w:val="16"/>
          <w:szCs w:val="16"/>
        </w:rPr>
        <w:t>, 2026</w:t>
      </w:r>
      <w:r w:rsidR="000508AD">
        <w:rPr>
          <w:rFonts w:ascii="Arial" w:eastAsia="Arial" w:hAnsi="Arial" w:cs="Arial"/>
          <w:color w:val="000000"/>
          <w:sz w:val="16"/>
          <w:szCs w:val="16"/>
        </w:rPr>
        <w:t xml:space="preserve"> (the pricing date)</w:t>
      </w:r>
      <w:r w:rsidRPr="00DF7ED9">
        <w:rPr>
          <w:rFonts w:ascii="Arial" w:eastAsia="Arial" w:hAnsi="Arial" w:cs="Arial"/>
          <w:color w:val="000000"/>
          <w:sz w:val="16"/>
          <w:szCs w:val="16"/>
        </w:rPr>
        <w:t>:</w:t>
      </w:r>
    </w:p>
    <w:tbl>
      <w:tblPr>
        <w:tblW w:w="5140" w:type="dxa"/>
        <w:jc w:val="center"/>
        <w:tblCellSpacing w:w="0" w:type="dxa"/>
        <w:tblCellMar>
          <w:top w:w="15" w:type="dxa"/>
          <w:left w:w="15" w:type="dxa"/>
          <w:bottom w:w="15" w:type="dxa"/>
          <w:right w:w="15" w:type="dxa"/>
        </w:tblCellMar>
        <w:tblLook w:val="04A0" w:firstRow="1" w:lastRow="0" w:firstColumn="1" w:lastColumn="0" w:noHBand="0" w:noVBand="1"/>
      </w:tblPr>
      <w:tblGrid>
        <w:gridCol w:w="3358"/>
        <w:gridCol w:w="1782"/>
      </w:tblGrid>
      <w:tr w:rsidR="00BD53EC" w:rsidRPr="00DF7ED9" w14:paraId="1AE8E524" w14:textId="77777777" w:rsidTr="00B07BDF">
        <w:trPr>
          <w:cantSplit/>
          <w:tblCellSpacing w:w="0" w:type="dxa"/>
          <w:jc w:val="center"/>
        </w:trPr>
        <w:tc>
          <w:tcPr>
            <w:tcW w:w="3358" w:type="dxa"/>
            <w:tcMar>
              <w:top w:w="0" w:type="dxa"/>
              <w:left w:w="0" w:type="dxa"/>
              <w:bottom w:w="0" w:type="dxa"/>
              <w:right w:w="0" w:type="dxa"/>
            </w:tcMar>
            <w:vAlign w:val="center"/>
            <w:hideMark/>
          </w:tcPr>
          <w:p w14:paraId="0D574407" w14:textId="77777777" w:rsidR="00892B72" w:rsidRPr="00DF7ED9" w:rsidRDefault="00892B72" w:rsidP="00CE794F">
            <w:pPr>
              <w:spacing w:after="160"/>
              <w:ind w:right="58"/>
              <w:rPr>
                <w:color w:val="000000"/>
                <w:sz w:val="16"/>
                <w:szCs w:val="16"/>
              </w:rPr>
            </w:pPr>
          </w:p>
        </w:tc>
        <w:tc>
          <w:tcPr>
            <w:tcW w:w="1782" w:type="dxa"/>
            <w:tcMar>
              <w:top w:w="0" w:type="dxa"/>
              <w:left w:w="0" w:type="dxa"/>
              <w:bottom w:w="0" w:type="dxa"/>
              <w:right w:w="0" w:type="dxa"/>
            </w:tcMar>
            <w:vAlign w:val="center"/>
            <w:hideMark/>
          </w:tcPr>
          <w:p w14:paraId="67D96AF3" w14:textId="77777777" w:rsidR="00892B72" w:rsidRPr="00DF7ED9" w:rsidRDefault="00892B72" w:rsidP="00CE794F">
            <w:pPr>
              <w:spacing w:after="160"/>
              <w:ind w:right="58"/>
              <w:rPr>
                <w:color w:val="000000"/>
                <w:sz w:val="16"/>
                <w:szCs w:val="16"/>
              </w:rPr>
            </w:pPr>
          </w:p>
        </w:tc>
      </w:tr>
      <w:tr w:rsidR="00BD53EC" w:rsidRPr="00DF7ED9" w14:paraId="3FA43E35" w14:textId="77777777" w:rsidTr="00B07BDF">
        <w:trPr>
          <w:cantSplit/>
          <w:tblCellSpacing w:w="0" w:type="dxa"/>
          <w:jc w:val="center"/>
        </w:trPr>
        <w:tc>
          <w:tcPr>
            <w:tcW w:w="0" w:type="auto"/>
            <w:shd w:val="clear" w:color="auto" w:fill="FFFFFF"/>
            <w:tcMar>
              <w:top w:w="0" w:type="dxa"/>
              <w:left w:w="119" w:type="dxa"/>
              <w:bottom w:w="0" w:type="dxa"/>
              <w:right w:w="119" w:type="dxa"/>
            </w:tcMar>
            <w:vAlign w:val="center"/>
            <w:hideMark/>
          </w:tcPr>
          <w:p w14:paraId="73AB4907" w14:textId="77777777" w:rsidR="00892B72" w:rsidRPr="00DF7ED9" w:rsidRDefault="00C24AAF" w:rsidP="00CE794F">
            <w:pPr>
              <w:spacing w:after="160"/>
              <w:ind w:right="58"/>
              <w:rPr>
                <w:color w:val="000000"/>
                <w:sz w:val="16"/>
                <w:szCs w:val="16"/>
              </w:rPr>
            </w:pPr>
            <w:r w:rsidRPr="00DF7ED9">
              <w:rPr>
                <w:rFonts w:ascii="Arial" w:eastAsia="Arial" w:hAnsi="Arial" w:cs="Arial"/>
                <w:b/>
                <w:bCs/>
                <w:color w:val="296DC1"/>
                <w:sz w:val="16"/>
                <w:szCs w:val="16"/>
              </w:rPr>
              <w:t>Bloomberg Ticker Symbol:</w:t>
            </w:r>
          </w:p>
        </w:tc>
        <w:tc>
          <w:tcPr>
            <w:tcW w:w="0" w:type="auto"/>
            <w:shd w:val="clear" w:color="auto" w:fill="FFFFFF"/>
            <w:tcMar>
              <w:top w:w="0" w:type="dxa"/>
              <w:left w:w="119" w:type="dxa"/>
              <w:bottom w:w="0" w:type="dxa"/>
              <w:right w:w="119" w:type="dxa"/>
            </w:tcMar>
            <w:vAlign w:val="center"/>
            <w:hideMark/>
          </w:tcPr>
          <w:p w14:paraId="0D1D7F2B" w14:textId="77777777" w:rsidR="00892B72" w:rsidRPr="00DF7ED9" w:rsidRDefault="00C24AAF" w:rsidP="00CE794F">
            <w:pPr>
              <w:spacing w:after="160"/>
              <w:ind w:right="58"/>
              <w:jc w:val="center"/>
              <w:rPr>
                <w:color w:val="000000"/>
                <w:sz w:val="16"/>
                <w:szCs w:val="16"/>
              </w:rPr>
            </w:pPr>
            <w:r w:rsidRPr="00DF7ED9">
              <w:rPr>
                <w:rFonts w:ascii="Arial" w:eastAsia="Arial" w:hAnsi="Arial" w:cs="Arial"/>
                <w:color w:val="000000"/>
                <w:sz w:val="16"/>
                <w:szCs w:val="16"/>
              </w:rPr>
              <w:t>SPX</w:t>
            </w:r>
          </w:p>
        </w:tc>
      </w:tr>
      <w:tr w:rsidR="000508AD" w:rsidRPr="00DF7ED9" w14:paraId="51F7D153" w14:textId="77777777" w:rsidTr="003249B2">
        <w:trPr>
          <w:cantSplit/>
          <w:tblCellSpacing w:w="0" w:type="dxa"/>
          <w:jc w:val="center"/>
        </w:trPr>
        <w:tc>
          <w:tcPr>
            <w:tcW w:w="0" w:type="auto"/>
            <w:shd w:val="clear" w:color="auto" w:fill="FFFFFF"/>
            <w:tcMar>
              <w:top w:w="0" w:type="dxa"/>
              <w:left w:w="119" w:type="dxa"/>
              <w:bottom w:w="0" w:type="dxa"/>
              <w:right w:w="119" w:type="dxa"/>
            </w:tcMar>
            <w:hideMark/>
          </w:tcPr>
          <w:p w14:paraId="1AF349D4" w14:textId="3B604CDA" w:rsidR="000508AD" w:rsidRPr="006428A2" w:rsidRDefault="000508AD" w:rsidP="000508AD">
            <w:pPr>
              <w:spacing w:after="160"/>
              <w:ind w:right="58"/>
              <w:rPr>
                <w:rFonts w:ascii="Arial" w:hAnsi="Arial" w:cs="Arial"/>
                <w:color w:val="4F81BD" w:themeColor="accent1"/>
                <w:sz w:val="16"/>
                <w:szCs w:val="16"/>
              </w:rPr>
            </w:pPr>
            <w:r w:rsidRPr="006428A2">
              <w:rPr>
                <w:rFonts w:ascii="Arial" w:hAnsi="Arial" w:cs="Arial"/>
                <w:b/>
                <w:color w:val="4F81BD" w:themeColor="accent1"/>
                <w:sz w:val="16"/>
              </w:rPr>
              <w:t>Current Index Value:</w:t>
            </w:r>
          </w:p>
        </w:tc>
        <w:tc>
          <w:tcPr>
            <w:tcW w:w="0" w:type="auto"/>
            <w:shd w:val="clear" w:color="auto" w:fill="FFFFFF"/>
            <w:tcMar>
              <w:top w:w="0" w:type="dxa"/>
              <w:left w:w="119" w:type="dxa"/>
              <w:bottom w:w="0" w:type="dxa"/>
              <w:right w:w="119" w:type="dxa"/>
            </w:tcMar>
            <w:hideMark/>
          </w:tcPr>
          <w:p w14:paraId="026403F0" w14:textId="74170761" w:rsidR="000508AD" w:rsidRPr="006428A2" w:rsidRDefault="00AF3CC1" w:rsidP="000508AD">
            <w:pPr>
              <w:spacing w:after="160"/>
              <w:ind w:right="58"/>
              <w:jc w:val="center"/>
              <w:rPr>
                <w:rFonts w:ascii="Arial" w:hAnsi="Arial" w:cs="Arial"/>
                <w:color w:val="000000"/>
                <w:sz w:val="16"/>
                <w:szCs w:val="16"/>
              </w:rPr>
            </w:pPr>
            <w:r w:rsidRPr="00AF3CC1">
              <w:rPr>
                <w:rFonts w:ascii="Arial" w:hAnsi="Arial" w:cs="Arial"/>
                <w:sz w:val="16"/>
              </w:rPr>
              <w:t>6,909.51</w:t>
            </w:r>
          </w:p>
        </w:tc>
      </w:tr>
      <w:tr w:rsidR="000508AD" w:rsidRPr="00DF7ED9" w14:paraId="4B2EC698" w14:textId="77777777" w:rsidTr="003249B2">
        <w:trPr>
          <w:cantSplit/>
          <w:tblCellSpacing w:w="0" w:type="dxa"/>
          <w:jc w:val="center"/>
        </w:trPr>
        <w:tc>
          <w:tcPr>
            <w:tcW w:w="0" w:type="auto"/>
            <w:shd w:val="clear" w:color="auto" w:fill="FFFFFF"/>
            <w:tcMar>
              <w:top w:w="0" w:type="dxa"/>
              <w:left w:w="119" w:type="dxa"/>
              <w:bottom w:w="0" w:type="dxa"/>
              <w:right w:w="119" w:type="dxa"/>
            </w:tcMar>
            <w:hideMark/>
          </w:tcPr>
          <w:p w14:paraId="2B262D68" w14:textId="27DC1EA2" w:rsidR="000508AD" w:rsidRPr="006428A2" w:rsidRDefault="000508AD" w:rsidP="000508AD">
            <w:pPr>
              <w:spacing w:after="160"/>
              <w:ind w:right="58"/>
              <w:rPr>
                <w:rFonts w:ascii="Arial" w:hAnsi="Arial" w:cs="Arial"/>
                <w:color w:val="4F81BD" w:themeColor="accent1"/>
                <w:sz w:val="16"/>
                <w:szCs w:val="16"/>
              </w:rPr>
            </w:pPr>
            <w:r w:rsidRPr="006428A2">
              <w:rPr>
                <w:rFonts w:ascii="Arial" w:hAnsi="Arial" w:cs="Arial"/>
                <w:b/>
                <w:color w:val="4F81BD" w:themeColor="accent1"/>
                <w:sz w:val="16"/>
              </w:rPr>
              <w:t>52 Weeks Ago:</w:t>
            </w:r>
          </w:p>
        </w:tc>
        <w:tc>
          <w:tcPr>
            <w:tcW w:w="0" w:type="auto"/>
            <w:shd w:val="clear" w:color="auto" w:fill="FFFFFF"/>
            <w:tcMar>
              <w:top w:w="0" w:type="dxa"/>
              <w:left w:w="119" w:type="dxa"/>
              <w:bottom w:w="0" w:type="dxa"/>
              <w:right w:w="119" w:type="dxa"/>
            </w:tcMar>
            <w:hideMark/>
          </w:tcPr>
          <w:p w14:paraId="72A8A780" w14:textId="328301EF" w:rsidR="000508AD" w:rsidRPr="006428A2" w:rsidRDefault="00AF3CC1" w:rsidP="000508AD">
            <w:pPr>
              <w:spacing w:after="160"/>
              <w:ind w:right="58"/>
              <w:jc w:val="center"/>
              <w:rPr>
                <w:rFonts w:ascii="Arial" w:hAnsi="Arial" w:cs="Arial"/>
                <w:color w:val="000000"/>
                <w:sz w:val="16"/>
                <w:szCs w:val="16"/>
              </w:rPr>
            </w:pPr>
            <w:r w:rsidRPr="00AF3CC1">
              <w:rPr>
                <w:rFonts w:ascii="Arial" w:hAnsi="Arial" w:cs="Arial"/>
                <w:sz w:val="16"/>
              </w:rPr>
              <w:t>6,117.52</w:t>
            </w:r>
          </w:p>
        </w:tc>
      </w:tr>
      <w:tr w:rsidR="000508AD" w:rsidRPr="00DF7ED9" w14:paraId="7E843868" w14:textId="77777777" w:rsidTr="003249B2">
        <w:trPr>
          <w:cantSplit/>
          <w:tblCellSpacing w:w="0" w:type="dxa"/>
          <w:jc w:val="center"/>
        </w:trPr>
        <w:tc>
          <w:tcPr>
            <w:tcW w:w="0" w:type="auto"/>
            <w:shd w:val="clear" w:color="auto" w:fill="FFFFFF"/>
            <w:tcMar>
              <w:top w:w="0" w:type="dxa"/>
              <w:left w:w="119" w:type="dxa"/>
              <w:bottom w:w="0" w:type="dxa"/>
              <w:right w:w="119" w:type="dxa"/>
            </w:tcMar>
            <w:hideMark/>
          </w:tcPr>
          <w:p w14:paraId="5C85A10A" w14:textId="2619371E" w:rsidR="000508AD" w:rsidRPr="006428A2" w:rsidRDefault="000508AD" w:rsidP="000508AD">
            <w:pPr>
              <w:spacing w:after="160"/>
              <w:ind w:right="58"/>
              <w:rPr>
                <w:rFonts w:ascii="Arial" w:hAnsi="Arial" w:cs="Arial"/>
                <w:color w:val="4F81BD" w:themeColor="accent1"/>
                <w:sz w:val="16"/>
                <w:szCs w:val="16"/>
              </w:rPr>
            </w:pPr>
            <w:r w:rsidRPr="006428A2">
              <w:rPr>
                <w:rFonts w:ascii="Arial" w:hAnsi="Arial" w:cs="Arial"/>
                <w:b/>
                <w:color w:val="4F81BD" w:themeColor="accent1"/>
                <w:sz w:val="16"/>
              </w:rPr>
              <w:t>52 Week High (on 01/27/2026):</w:t>
            </w:r>
          </w:p>
        </w:tc>
        <w:tc>
          <w:tcPr>
            <w:tcW w:w="0" w:type="auto"/>
            <w:shd w:val="clear" w:color="auto" w:fill="FFFFFF"/>
            <w:tcMar>
              <w:top w:w="0" w:type="dxa"/>
              <w:left w:w="119" w:type="dxa"/>
              <w:bottom w:w="0" w:type="dxa"/>
              <w:right w:w="119" w:type="dxa"/>
            </w:tcMar>
            <w:hideMark/>
          </w:tcPr>
          <w:p w14:paraId="0D7FE516" w14:textId="7D2F0EC8" w:rsidR="000508AD" w:rsidRPr="006428A2" w:rsidRDefault="000508AD" w:rsidP="000508AD">
            <w:pPr>
              <w:spacing w:after="160"/>
              <w:ind w:right="58"/>
              <w:jc w:val="center"/>
              <w:rPr>
                <w:rFonts w:ascii="Arial" w:hAnsi="Arial" w:cs="Arial"/>
                <w:color w:val="000000"/>
                <w:sz w:val="16"/>
                <w:szCs w:val="16"/>
              </w:rPr>
            </w:pPr>
            <w:r w:rsidRPr="006428A2">
              <w:rPr>
                <w:rFonts w:ascii="Arial" w:hAnsi="Arial" w:cs="Arial"/>
                <w:sz w:val="16"/>
              </w:rPr>
              <w:t>6,978.60</w:t>
            </w:r>
          </w:p>
        </w:tc>
      </w:tr>
      <w:tr w:rsidR="000508AD" w:rsidRPr="00DF7ED9" w14:paraId="05212371" w14:textId="77777777" w:rsidTr="003249B2">
        <w:trPr>
          <w:cantSplit/>
          <w:tblCellSpacing w:w="0" w:type="dxa"/>
          <w:jc w:val="center"/>
        </w:trPr>
        <w:tc>
          <w:tcPr>
            <w:tcW w:w="0" w:type="auto"/>
            <w:shd w:val="clear" w:color="auto" w:fill="FFFFFF"/>
            <w:tcMar>
              <w:top w:w="0" w:type="dxa"/>
              <w:left w:w="119" w:type="dxa"/>
              <w:bottom w:w="0" w:type="dxa"/>
              <w:right w:w="119" w:type="dxa"/>
            </w:tcMar>
            <w:hideMark/>
          </w:tcPr>
          <w:p w14:paraId="3174EF8F" w14:textId="12D39802" w:rsidR="000508AD" w:rsidRPr="006428A2" w:rsidRDefault="000508AD" w:rsidP="000508AD">
            <w:pPr>
              <w:spacing w:after="160"/>
              <w:ind w:right="58"/>
              <w:rPr>
                <w:rFonts w:ascii="Arial" w:hAnsi="Arial" w:cs="Arial"/>
                <w:color w:val="4F81BD" w:themeColor="accent1"/>
                <w:sz w:val="16"/>
                <w:szCs w:val="16"/>
              </w:rPr>
            </w:pPr>
            <w:r w:rsidRPr="006428A2">
              <w:rPr>
                <w:rFonts w:ascii="Arial" w:hAnsi="Arial" w:cs="Arial"/>
                <w:b/>
                <w:color w:val="4F81BD" w:themeColor="accent1"/>
                <w:sz w:val="16"/>
              </w:rPr>
              <w:t>52 Week Low (on 04/08/2025):</w:t>
            </w:r>
          </w:p>
        </w:tc>
        <w:tc>
          <w:tcPr>
            <w:tcW w:w="0" w:type="auto"/>
            <w:shd w:val="clear" w:color="auto" w:fill="FFFFFF"/>
            <w:tcMar>
              <w:top w:w="0" w:type="dxa"/>
              <w:left w:w="119" w:type="dxa"/>
              <w:bottom w:w="0" w:type="dxa"/>
              <w:right w:w="119" w:type="dxa"/>
            </w:tcMar>
            <w:hideMark/>
          </w:tcPr>
          <w:p w14:paraId="6E170B80" w14:textId="516C5BEA" w:rsidR="000508AD" w:rsidRPr="006428A2" w:rsidRDefault="000508AD" w:rsidP="000508AD">
            <w:pPr>
              <w:spacing w:after="160"/>
              <w:ind w:right="58"/>
              <w:jc w:val="center"/>
              <w:rPr>
                <w:rFonts w:ascii="Arial" w:hAnsi="Arial" w:cs="Arial"/>
                <w:color w:val="000000"/>
                <w:sz w:val="16"/>
                <w:szCs w:val="16"/>
              </w:rPr>
            </w:pPr>
            <w:r w:rsidRPr="006428A2">
              <w:rPr>
                <w:rFonts w:ascii="Arial" w:hAnsi="Arial" w:cs="Arial"/>
                <w:sz w:val="16"/>
              </w:rPr>
              <w:t>4,982.77</w:t>
            </w:r>
          </w:p>
        </w:tc>
      </w:tr>
    </w:tbl>
    <w:p w14:paraId="34DF5594" w14:textId="77777777" w:rsidR="00262AA1" w:rsidRPr="00DF7ED9" w:rsidRDefault="00262AA1" w:rsidP="00CE794F">
      <w:pPr>
        <w:spacing w:after="160"/>
        <w:ind w:right="58"/>
        <w:rPr>
          <w:rFonts w:ascii="Arial" w:eastAsia="Arial" w:hAnsi="Arial" w:cs="Arial"/>
          <w:b/>
          <w:bCs/>
          <w:color w:val="296DC1"/>
          <w:sz w:val="16"/>
          <w:szCs w:val="16"/>
        </w:rPr>
      </w:pPr>
    </w:p>
    <w:p w14:paraId="0BC7B3B6" w14:textId="656390B3" w:rsidR="00262AA1" w:rsidRPr="00DF7ED9" w:rsidRDefault="00C24AAF" w:rsidP="00CE794F">
      <w:pPr>
        <w:spacing w:after="160"/>
        <w:ind w:right="58"/>
        <w:rPr>
          <w:rFonts w:ascii="Arial" w:eastAsia="Arial" w:hAnsi="Arial" w:cs="Arial"/>
          <w:color w:val="000000"/>
          <w:sz w:val="16"/>
          <w:szCs w:val="16"/>
        </w:rPr>
      </w:pPr>
      <w:r w:rsidRPr="00DF7ED9">
        <w:rPr>
          <w:rFonts w:ascii="Arial" w:eastAsia="Arial" w:hAnsi="Arial" w:cs="Arial"/>
          <w:color w:val="000000"/>
          <w:sz w:val="16"/>
          <w:szCs w:val="16"/>
        </w:rPr>
        <w:t>For additional historical information, see “S&amp;P 500</w:t>
      </w:r>
      <w:r w:rsidRPr="00DF7ED9">
        <w:rPr>
          <w:rFonts w:ascii="Arial" w:eastAsia="Arial" w:hAnsi="Arial" w:cs="Arial"/>
          <w:color w:val="000000"/>
          <w:sz w:val="16"/>
          <w:szCs w:val="16"/>
          <w:vertAlign w:val="superscript"/>
        </w:rPr>
        <w:t>®</w:t>
      </w:r>
      <w:r w:rsidRPr="00DF7ED9">
        <w:rPr>
          <w:rFonts w:ascii="Arial" w:eastAsia="Arial" w:hAnsi="Arial" w:cs="Arial"/>
          <w:color w:val="000000"/>
          <w:sz w:val="16"/>
          <w:szCs w:val="16"/>
        </w:rPr>
        <w:t xml:space="preserve"> Index Historical Performance” below. </w:t>
      </w:r>
      <w:r w:rsidR="00262AA1" w:rsidRPr="00DF7ED9">
        <w:rPr>
          <w:rFonts w:ascii="Arial" w:eastAsia="Arial" w:hAnsi="Arial" w:cs="Arial"/>
          <w:color w:val="000000"/>
          <w:sz w:val="16"/>
          <w:szCs w:val="16"/>
        </w:rPr>
        <w:t>For additional information about the S&amp;P 500</w:t>
      </w:r>
      <w:r w:rsidR="00262AA1" w:rsidRPr="00DF7ED9">
        <w:rPr>
          <w:rFonts w:ascii="Arial" w:eastAsia="Arial" w:hAnsi="Arial" w:cs="Arial"/>
          <w:color w:val="000000"/>
          <w:sz w:val="16"/>
          <w:szCs w:val="16"/>
          <w:vertAlign w:val="superscript"/>
        </w:rPr>
        <w:t>®</w:t>
      </w:r>
      <w:r w:rsidR="00262AA1" w:rsidRPr="00DF7ED9">
        <w:rPr>
          <w:rFonts w:ascii="Arial" w:eastAsia="Arial" w:hAnsi="Arial" w:cs="Arial"/>
          <w:color w:val="000000"/>
          <w:sz w:val="16"/>
          <w:szCs w:val="16"/>
        </w:rPr>
        <w:t xml:space="preserve"> Index, see the information set forth in “Annex A—The S&amp;P 500</w:t>
      </w:r>
      <w:r w:rsidR="00262AA1" w:rsidRPr="00DF7ED9">
        <w:rPr>
          <w:rFonts w:ascii="Arial" w:eastAsia="Arial" w:hAnsi="Arial" w:cs="Arial"/>
          <w:color w:val="000000"/>
          <w:sz w:val="16"/>
          <w:szCs w:val="16"/>
          <w:vertAlign w:val="superscript"/>
        </w:rPr>
        <w:t>®</w:t>
      </w:r>
      <w:r w:rsidR="00262AA1" w:rsidRPr="00DF7ED9">
        <w:rPr>
          <w:rFonts w:ascii="Arial" w:eastAsia="Arial" w:hAnsi="Arial" w:cs="Arial"/>
          <w:color w:val="000000"/>
          <w:sz w:val="16"/>
          <w:szCs w:val="16"/>
        </w:rPr>
        <w:t xml:space="preserve"> Index” below.</w:t>
      </w:r>
    </w:p>
    <w:p w14:paraId="4C777E82" w14:textId="77777777" w:rsidR="002C6D14" w:rsidRPr="00DF7ED9" w:rsidRDefault="002C6D14">
      <w:pPr>
        <w:pBdr>
          <w:left w:val="none" w:sz="0" w:space="31" w:color="auto"/>
          <w:bottom w:val="none" w:sz="0" w:space="10" w:color="auto"/>
          <w:right w:val="none" w:sz="0" w:space="31" w:color="auto"/>
        </w:pBdr>
        <w:spacing w:before="22"/>
        <w:ind w:left="792" w:right="792"/>
        <w:rPr>
          <w:sz w:val="20"/>
          <w:szCs w:val="20"/>
        </w:rPr>
      </w:pPr>
    </w:p>
    <w:p w14:paraId="1F3D2303" w14:textId="77777777" w:rsidR="002C6D14" w:rsidRPr="00DF7ED9" w:rsidRDefault="002C6D14">
      <w:pPr>
        <w:pBdr>
          <w:bottom w:val="single" w:sz="8" w:space="0" w:color="000000"/>
        </w:pBdr>
        <w:spacing w:before="240" w:after="240"/>
        <w:sectPr w:rsidR="002C6D14" w:rsidRPr="00DF7ED9" w:rsidSect="00371BFB">
          <w:pgSz w:w="12240" w:h="15840"/>
          <w:pgMar w:top="288" w:right="288" w:bottom="288" w:left="288" w:header="720" w:footer="720" w:gutter="0"/>
          <w:cols w:space="720"/>
        </w:sectPr>
      </w:pPr>
    </w:p>
    <w:p w14:paraId="0774DF25" w14:textId="77777777" w:rsidR="002C6D14" w:rsidRPr="00DF7ED9" w:rsidRDefault="00C24AAF" w:rsidP="00EC77FC">
      <w:pPr>
        <w:spacing w:after="160"/>
        <w:ind w:left="792" w:right="792" w:hanging="792"/>
        <w:rPr>
          <w:sz w:val="28"/>
          <w:szCs w:val="28"/>
        </w:rPr>
      </w:pPr>
      <w:r w:rsidRPr="00DF7ED9">
        <w:rPr>
          <w:rFonts w:ascii="Arial" w:eastAsia="Arial" w:hAnsi="Arial" w:cs="Arial"/>
          <w:color w:val="296DC1"/>
          <w:sz w:val="28"/>
          <w:szCs w:val="28"/>
        </w:rPr>
        <w:lastRenderedPageBreak/>
        <w:t>Hypothetical Examples</w:t>
      </w:r>
    </w:p>
    <w:p w14:paraId="29A132A2" w14:textId="55A2A016" w:rsidR="002C6D14" w:rsidRPr="00DF7ED9" w:rsidRDefault="00C24AAF" w:rsidP="00EC77FC">
      <w:pPr>
        <w:spacing w:after="160"/>
        <w:ind w:right="792"/>
        <w:rPr>
          <w:sz w:val="16"/>
          <w:szCs w:val="16"/>
        </w:rPr>
      </w:pPr>
      <w:r w:rsidRPr="00DF7ED9">
        <w:rPr>
          <w:rFonts w:ascii="Arial" w:eastAsia="Arial" w:hAnsi="Arial" w:cs="Arial"/>
          <w:sz w:val="16"/>
          <w:szCs w:val="16"/>
        </w:rPr>
        <w:t xml:space="preserve">The following hypothetical examples are for illustrative purposes only.  Whether you receive a contingent quarterly coupon will be determined on each quarterly observation date and the payment at maturity will be determined by reference to the </w:t>
      </w:r>
      <w:r w:rsidR="004B51F0" w:rsidRPr="00DF7ED9">
        <w:rPr>
          <w:rFonts w:ascii="Arial" w:eastAsia="Arial" w:hAnsi="Arial" w:cs="Arial"/>
          <w:sz w:val="16"/>
          <w:szCs w:val="16"/>
        </w:rPr>
        <w:t>index closing value</w:t>
      </w:r>
      <w:r w:rsidRPr="00DF7ED9">
        <w:rPr>
          <w:rFonts w:ascii="Arial" w:eastAsia="Arial" w:hAnsi="Arial" w:cs="Arial"/>
          <w:sz w:val="16"/>
          <w:szCs w:val="16"/>
        </w:rPr>
        <w:t xml:space="preserve"> </w:t>
      </w:r>
      <w:r w:rsidR="00892B72" w:rsidRPr="00DF7ED9">
        <w:rPr>
          <w:rFonts w:ascii="Arial" w:eastAsia="Arial" w:hAnsi="Arial" w:cs="Arial"/>
          <w:sz w:val="16"/>
          <w:szCs w:val="16"/>
        </w:rPr>
        <w:t xml:space="preserve">of the </w:t>
      </w:r>
      <w:r w:rsidR="004B51F0" w:rsidRPr="00DF7ED9">
        <w:rPr>
          <w:rFonts w:ascii="Arial" w:eastAsia="Arial" w:hAnsi="Arial" w:cs="Arial"/>
          <w:sz w:val="16"/>
          <w:szCs w:val="16"/>
        </w:rPr>
        <w:t>underlying index</w:t>
      </w:r>
      <w:r w:rsidR="00892B72" w:rsidRPr="00DF7ED9">
        <w:rPr>
          <w:rFonts w:ascii="Arial" w:eastAsia="Arial" w:hAnsi="Arial" w:cs="Arial"/>
          <w:sz w:val="16"/>
          <w:szCs w:val="16"/>
        </w:rPr>
        <w:t xml:space="preserve"> </w:t>
      </w:r>
      <w:r w:rsidRPr="00DF7ED9">
        <w:rPr>
          <w:rFonts w:ascii="Arial" w:eastAsia="Arial" w:hAnsi="Arial" w:cs="Arial"/>
          <w:sz w:val="16"/>
          <w:szCs w:val="16"/>
        </w:rPr>
        <w:t xml:space="preserve">on the final observation date. Any early redemption of the securities will be </w:t>
      </w:r>
      <w:r w:rsidR="00892B72" w:rsidRPr="00DF7ED9">
        <w:rPr>
          <w:rFonts w:ascii="Arial" w:eastAsia="Arial" w:hAnsi="Arial" w:cs="Arial"/>
          <w:sz w:val="16"/>
          <w:szCs w:val="16"/>
        </w:rPr>
        <w:t>at our discretion</w:t>
      </w:r>
      <w:r w:rsidRPr="00DF7ED9">
        <w:rPr>
          <w:rFonts w:ascii="Arial" w:eastAsia="Arial" w:hAnsi="Arial" w:cs="Arial"/>
          <w:sz w:val="16"/>
          <w:szCs w:val="16"/>
        </w:rPr>
        <w:t xml:space="preserve">.  The actual </w:t>
      </w:r>
      <w:r w:rsidR="00B07BDF" w:rsidRPr="00DF7ED9">
        <w:rPr>
          <w:rFonts w:ascii="Arial" w:eastAsia="Arial" w:hAnsi="Arial" w:cs="Arial"/>
          <w:sz w:val="16"/>
          <w:szCs w:val="16"/>
        </w:rPr>
        <w:t>initial index value</w:t>
      </w:r>
      <w:r w:rsidRPr="00DF7ED9">
        <w:rPr>
          <w:rFonts w:ascii="Arial" w:eastAsia="Arial" w:hAnsi="Arial" w:cs="Arial"/>
          <w:sz w:val="16"/>
          <w:szCs w:val="16"/>
        </w:rPr>
        <w:t xml:space="preserve">, coupon barrier level and downside threshold level </w:t>
      </w:r>
      <w:r w:rsidR="006428A2">
        <w:rPr>
          <w:rFonts w:ascii="Arial" w:eastAsia="Arial" w:hAnsi="Arial" w:cs="Arial"/>
          <w:sz w:val="16"/>
          <w:szCs w:val="16"/>
        </w:rPr>
        <w:t>are set forth under “Summary Terms” above</w:t>
      </w:r>
      <w:r w:rsidRPr="00DF7ED9">
        <w:rPr>
          <w:rFonts w:ascii="Arial" w:eastAsia="Arial" w:hAnsi="Arial" w:cs="Arial"/>
          <w:sz w:val="16"/>
          <w:szCs w:val="16"/>
        </w:rPr>
        <w:t xml:space="preserve">. </w:t>
      </w:r>
      <w:r w:rsidR="00892B72" w:rsidRPr="00DF7ED9">
        <w:rPr>
          <w:rFonts w:ascii="Arial" w:eastAsia="Arial" w:hAnsi="Arial" w:cs="Arial"/>
          <w:sz w:val="16"/>
          <w:szCs w:val="16"/>
        </w:rPr>
        <w:t xml:space="preserve">All payments on the securities are subject to issuer and guarantor credit risk. </w:t>
      </w:r>
      <w:r w:rsidRPr="00DF7ED9">
        <w:rPr>
          <w:rFonts w:ascii="Arial" w:eastAsia="Arial" w:hAnsi="Arial" w:cs="Arial"/>
          <w:sz w:val="16"/>
          <w:szCs w:val="16"/>
        </w:rPr>
        <w:t>The numbers in the hypothetical examples may be rounded for ease of analysis. The below examples are based on the following terms:</w:t>
      </w:r>
    </w:p>
    <w:tbl>
      <w:tblPr>
        <w:tblW w:w="5000" w:type="pct"/>
        <w:tblCellSpacing w:w="0" w:type="dxa"/>
        <w:shd w:val="clear" w:color="auto" w:fill="DCEBF4"/>
        <w:tblCellMar>
          <w:top w:w="15" w:type="dxa"/>
          <w:left w:w="15" w:type="dxa"/>
          <w:bottom w:w="15" w:type="dxa"/>
          <w:right w:w="15" w:type="dxa"/>
        </w:tblCellMar>
        <w:tblLook w:val="04A0" w:firstRow="1" w:lastRow="0" w:firstColumn="1" w:lastColumn="0" w:noHBand="0" w:noVBand="1"/>
      </w:tblPr>
      <w:tblGrid>
        <w:gridCol w:w="3441"/>
        <w:gridCol w:w="8223"/>
      </w:tblGrid>
      <w:tr w:rsidR="00BD53EC" w:rsidRPr="00DF7ED9" w14:paraId="59B433D3" w14:textId="77777777" w:rsidTr="00CE794F">
        <w:trPr>
          <w:cantSplit/>
          <w:tblCellSpacing w:w="0" w:type="dxa"/>
        </w:trPr>
        <w:tc>
          <w:tcPr>
            <w:tcW w:w="1475" w:type="pct"/>
            <w:shd w:val="clear" w:color="auto" w:fill="DCEBF4"/>
            <w:tcMar>
              <w:top w:w="0" w:type="dxa"/>
              <w:left w:w="0" w:type="dxa"/>
              <w:bottom w:w="0" w:type="dxa"/>
              <w:right w:w="0" w:type="dxa"/>
            </w:tcMar>
            <w:vAlign w:val="center"/>
            <w:hideMark/>
          </w:tcPr>
          <w:p w14:paraId="2820406D" w14:textId="77777777" w:rsidR="002C6D14" w:rsidRPr="00DF7ED9" w:rsidRDefault="002C6D14">
            <w:pPr>
              <w:rPr>
                <w:color w:val="000000"/>
                <w:sz w:val="16"/>
                <w:szCs w:val="16"/>
              </w:rPr>
            </w:pPr>
          </w:p>
        </w:tc>
        <w:tc>
          <w:tcPr>
            <w:tcW w:w="3525" w:type="pct"/>
            <w:shd w:val="clear" w:color="auto" w:fill="DCEBF4"/>
            <w:tcMar>
              <w:top w:w="0" w:type="dxa"/>
              <w:left w:w="0" w:type="dxa"/>
              <w:bottom w:w="0" w:type="dxa"/>
              <w:right w:w="0" w:type="dxa"/>
            </w:tcMar>
            <w:vAlign w:val="center"/>
            <w:hideMark/>
          </w:tcPr>
          <w:p w14:paraId="78546BB0" w14:textId="77777777" w:rsidR="002C6D14" w:rsidRPr="00DF7ED9" w:rsidRDefault="002C6D14">
            <w:pPr>
              <w:rPr>
                <w:color w:val="000000"/>
                <w:sz w:val="16"/>
                <w:szCs w:val="16"/>
              </w:rPr>
            </w:pPr>
          </w:p>
        </w:tc>
      </w:tr>
      <w:tr w:rsidR="00BD53EC" w:rsidRPr="00DF7ED9" w14:paraId="30AF48D6" w14:textId="77777777" w:rsidTr="00CE794F">
        <w:trPr>
          <w:cantSplit/>
          <w:tblCellSpacing w:w="0" w:type="dxa"/>
        </w:trPr>
        <w:tc>
          <w:tcPr>
            <w:tcW w:w="1475" w:type="pct"/>
            <w:shd w:val="clear" w:color="auto" w:fill="DCEBF4"/>
            <w:tcMar>
              <w:top w:w="0" w:type="dxa"/>
              <w:left w:w="119" w:type="dxa"/>
              <w:bottom w:w="0" w:type="dxa"/>
              <w:right w:w="119" w:type="dxa"/>
            </w:tcMar>
            <w:hideMark/>
          </w:tcPr>
          <w:p w14:paraId="71350D47" w14:textId="77777777" w:rsidR="002C6D14" w:rsidRPr="00DF7ED9" w:rsidRDefault="00C24AAF">
            <w:pPr>
              <w:spacing w:before="22" w:after="44" w:line="200" w:lineRule="atLeast"/>
              <w:rPr>
                <w:color w:val="000000"/>
                <w:sz w:val="16"/>
                <w:szCs w:val="16"/>
              </w:rPr>
            </w:pPr>
            <w:r w:rsidRPr="00DF7ED9">
              <w:rPr>
                <w:rFonts w:ascii="Arial" w:eastAsia="Arial" w:hAnsi="Arial" w:cs="Arial"/>
                <w:color w:val="000000"/>
                <w:sz w:val="16"/>
                <w:szCs w:val="16"/>
              </w:rPr>
              <w:t xml:space="preserve">Hypothetical </w:t>
            </w:r>
            <w:r w:rsidR="000676BD" w:rsidRPr="00DF7ED9">
              <w:rPr>
                <w:rFonts w:ascii="Arial" w:eastAsia="Arial" w:hAnsi="Arial" w:cs="Arial"/>
                <w:color w:val="000000"/>
                <w:sz w:val="16"/>
                <w:szCs w:val="16"/>
              </w:rPr>
              <w:t>Initial Index Value:</w:t>
            </w:r>
          </w:p>
        </w:tc>
        <w:tc>
          <w:tcPr>
            <w:tcW w:w="3525" w:type="pct"/>
            <w:shd w:val="clear" w:color="auto" w:fill="DCEBF4"/>
            <w:tcMar>
              <w:top w:w="0" w:type="dxa"/>
              <w:left w:w="119" w:type="dxa"/>
              <w:bottom w:w="0" w:type="dxa"/>
              <w:right w:w="119" w:type="dxa"/>
            </w:tcMar>
            <w:vAlign w:val="center"/>
            <w:hideMark/>
          </w:tcPr>
          <w:p w14:paraId="1B4B3EA7" w14:textId="32E259DE" w:rsidR="002C6D14" w:rsidRPr="00DF7ED9" w:rsidRDefault="00DA7564">
            <w:pPr>
              <w:spacing w:before="22" w:after="44" w:line="200" w:lineRule="atLeast"/>
              <w:rPr>
                <w:color w:val="000000"/>
                <w:sz w:val="16"/>
                <w:szCs w:val="16"/>
              </w:rPr>
            </w:pPr>
            <w:r>
              <w:rPr>
                <w:rFonts w:ascii="Arial" w:eastAsia="Arial" w:hAnsi="Arial" w:cs="Arial"/>
                <w:color w:val="000000"/>
                <w:sz w:val="16"/>
                <w:szCs w:val="16"/>
              </w:rPr>
              <w:t>100</w:t>
            </w:r>
          </w:p>
        </w:tc>
      </w:tr>
      <w:tr w:rsidR="00BD53EC" w:rsidRPr="00DF7ED9" w14:paraId="4CC9BBD8" w14:textId="77777777" w:rsidTr="00CE794F">
        <w:trPr>
          <w:cantSplit/>
          <w:tblCellSpacing w:w="0" w:type="dxa"/>
        </w:trPr>
        <w:tc>
          <w:tcPr>
            <w:tcW w:w="1475" w:type="pct"/>
            <w:shd w:val="clear" w:color="auto" w:fill="FFFFFF"/>
            <w:tcMar>
              <w:top w:w="0" w:type="dxa"/>
              <w:left w:w="119" w:type="dxa"/>
              <w:bottom w:w="0" w:type="dxa"/>
              <w:right w:w="119" w:type="dxa"/>
            </w:tcMar>
            <w:hideMark/>
          </w:tcPr>
          <w:p w14:paraId="4F8A0E1C" w14:textId="77777777" w:rsidR="002C6D14" w:rsidRPr="00DF7ED9" w:rsidRDefault="00C24AAF">
            <w:pPr>
              <w:spacing w:before="22" w:after="44" w:line="200" w:lineRule="atLeast"/>
              <w:rPr>
                <w:color w:val="000000"/>
                <w:sz w:val="16"/>
                <w:szCs w:val="16"/>
              </w:rPr>
            </w:pPr>
            <w:r w:rsidRPr="00DF7ED9">
              <w:rPr>
                <w:rFonts w:ascii="Arial" w:eastAsia="Arial" w:hAnsi="Arial" w:cs="Arial"/>
                <w:color w:val="000000"/>
                <w:sz w:val="16"/>
                <w:szCs w:val="16"/>
              </w:rPr>
              <w:t xml:space="preserve">Hypothetical </w:t>
            </w:r>
            <w:r w:rsidR="000676BD" w:rsidRPr="00DF7ED9">
              <w:rPr>
                <w:rFonts w:ascii="Arial" w:eastAsia="Arial" w:hAnsi="Arial" w:cs="Arial"/>
                <w:color w:val="000000"/>
                <w:sz w:val="16"/>
                <w:szCs w:val="16"/>
              </w:rPr>
              <w:t>Coupon Barrier Level:</w:t>
            </w:r>
          </w:p>
        </w:tc>
        <w:tc>
          <w:tcPr>
            <w:tcW w:w="3525" w:type="pct"/>
            <w:shd w:val="clear" w:color="auto" w:fill="FFFFFF"/>
            <w:tcMar>
              <w:top w:w="0" w:type="dxa"/>
              <w:left w:w="119" w:type="dxa"/>
              <w:bottom w:w="0" w:type="dxa"/>
              <w:right w:w="119" w:type="dxa"/>
            </w:tcMar>
            <w:vAlign w:val="center"/>
            <w:hideMark/>
          </w:tcPr>
          <w:p w14:paraId="7E4C363D" w14:textId="3F40D741" w:rsidR="002C6D14" w:rsidRPr="00DF7ED9" w:rsidRDefault="00DA7564">
            <w:pPr>
              <w:spacing w:before="22" w:after="44" w:line="200" w:lineRule="atLeast"/>
              <w:rPr>
                <w:color w:val="000000"/>
                <w:sz w:val="16"/>
                <w:szCs w:val="16"/>
              </w:rPr>
            </w:pPr>
            <w:r>
              <w:rPr>
                <w:rFonts w:ascii="Arial" w:eastAsia="Arial" w:hAnsi="Arial" w:cs="Arial"/>
                <w:color w:val="000000"/>
                <w:sz w:val="16"/>
                <w:szCs w:val="16"/>
              </w:rPr>
              <w:t>80</w:t>
            </w:r>
            <w:r w:rsidR="00C24AAF" w:rsidRPr="00DF7ED9">
              <w:rPr>
                <w:rFonts w:ascii="Arial" w:eastAsia="Arial" w:hAnsi="Arial" w:cs="Arial"/>
                <w:color w:val="000000"/>
                <w:sz w:val="16"/>
                <w:szCs w:val="16"/>
              </w:rPr>
              <w:t xml:space="preserve">, which is </w:t>
            </w:r>
            <w:r w:rsidR="00B66851" w:rsidRPr="00DF7ED9">
              <w:rPr>
                <w:rFonts w:ascii="Arial" w:eastAsia="Arial" w:hAnsi="Arial" w:cs="Arial"/>
                <w:color w:val="000000"/>
                <w:sz w:val="16"/>
                <w:szCs w:val="16"/>
              </w:rPr>
              <w:t>80</w:t>
            </w:r>
            <w:r w:rsidR="00D56F33" w:rsidRPr="00DF7ED9">
              <w:rPr>
                <w:rFonts w:ascii="Arial" w:eastAsia="Arial" w:hAnsi="Arial" w:cs="Arial"/>
                <w:color w:val="000000"/>
                <w:sz w:val="16"/>
                <w:szCs w:val="16"/>
              </w:rPr>
              <w:t>%</w:t>
            </w:r>
            <w:r w:rsidR="00C24AAF" w:rsidRPr="00DF7ED9">
              <w:rPr>
                <w:rFonts w:ascii="Arial" w:eastAsia="Arial" w:hAnsi="Arial" w:cs="Arial"/>
                <w:color w:val="000000"/>
                <w:sz w:val="16"/>
                <w:szCs w:val="16"/>
              </w:rPr>
              <w:t xml:space="preserve"> of the hypothetical </w:t>
            </w:r>
            <w:r w:rsidR="00B07BDF" w:rsidRPr="00DF7ED9">
              <w:rPr>
                <w:rFonts w:ascii="Arial" w:eastAsia="Arial" w:hAnsi="Arial" w:cs="Arial"/>
                <w:color w:val="000000"/>
                <w:sz w:val="16"/>
                <w:szCs w:val="16"/>
              </w:rPr>
              <w:t>initial index value</w:t>
            </w:r>
          </w:p>
        </w:tc>
      </w:tr>
      <w:tr w:rsidR="00BD53EC" w:rsidRPr="00DF7ED9" w14:paraId="65AE6DEC" w14:textId="77777777" w:rsidTr="00CE794F">
        <w:trPr>
          <w:cantSplit/>
          <w:tblCellSpacing w:w="0" w:type="dxa"/>
        </w:trPr>
        <w:tc>
          <w:tcPr>
            <w:tcW w:w="1475" w:type="pct"/>
            <w:shd w:val="clear" w:color="auto" w:fill="DCEBF4"/>
            <w:tcMar>
              <w:top w:w="0" w:type="dxa"/>
              <w:left w:w="119" w:type="dxa"/>
              <w:bottom w:w="0" w:type="dxa"/>
              <w:right w:w="119" w:type="dxa"/>
            </w:tcMar>
            <w:hideMark/>
          </w:tcPr>
          <w:p w14:paraId="723826B5" w14:textId="77777777" w:rsidR="002C6D14" w:rsidRPr="00DF7ED9" w:rsidRDefault="00C24AAF">
            <w:pPr>
              <w:spacing w:before="22" w:after="44" w:line="200" w:lineRule="atLeast"/>
              <w:rPr>
                <w:color w:val="000000"/>
                <w:sz w:val="16"/>
                <w:szCs w:val="16"/>
              </w:rPr>
            </w:pPr>
            <w:r w:rsidRPr="00DF7ED9">
              <w:rPr>
                <w:rFonts w:ascii="Arial" w:eastAsia="Arial" w:hAnsi="Arial" w:cs="Arial"/>
                <w:color w:val="000000"/>
                <w:sz w:val="16"/>
                <w:szCs w:val="16"/>
              </w:rPr>
              <w:t xml:space="preserve">Hypothetical </w:t>
            </w:r>
            <w:r w:rsidR="000676BD" w:rsidRPr="00DF7ED9">
              <w:rPr>
                <w:rFonts w:ascii="Arial" w:eastAsia="Arial" w:hAnsi="Arial" w:cs="Arial"/>
                <w:color w:val="000000"/>
                <w:sz w:val="16"/>
                <w:szCs w:val="16"/>
              </w:rPr>
              <w:t>Downside Threshold Level:</w:t>
            </w:r>
          </w:p>
        </w:tc>
        <w:tc>
          <w:tcPr>
            <w:tcW w:w="3525" w:type="pct"/>
            <w:shd w:val="clear" w:color="auto" w:fill="DCEBF4"/>
            <w:tcMar>
              <w:top w:w="0" w:type="dxa"/>
              <w:left w:w="119" w:type="dxa"/>
              <w:bottom w:w="0" w:type="dxa"/>
              <w:right w:w="119" w:type="dxa"/>
            </w:tcMar>
            <w:vAlign w:val="center"/>
            <w:hideMark/>
          </w:tcPr>
          <w:p w14:paraId="6F31D467" w14:textId="3DA8E617" w:rsidR="002C6D14" w:rsidRPr="00DF7ED9" w:rsidRDefault="00DA7564">
            <w:pPr>
              <w:spacing w:before="22" w:after="44" w:line="200" w:lineRule="atLeast"/>
              <w:rPr>
                <w:color w:val="000000"/>
                <w:sz w:val="16"/>
                <w:szCs w:val="16"/>
              </w:rPr>
            </w:pPr>
            <w:r>
              <w:rPr>
                <w:rFonts w:ascii="Arial" w:eastAsia="Arial" w:hAnsi="Arial" w:cs="Arial"/>
                <w:color w:val="000000"/>
                <w:sz w:val="16"/>
                <w:szCs w:val="16"/>
              </w:rPr>
              <w:t>80</w:t>
            </w:r>
            <w:r w:rsidR="00C24AAF" w:rsidRPr="00DF7ED9">
              <w:rPr>
                <w:rFonts w:ascii="Arial" w:eastAsia="Arial" w:hAnsi="Arial" w:cs="Arial"/>
                <w:color w:val="000000"/>
                <w:sz w:val="16"/>
                <w:szCs w:val="16"/>
              </w:rPr>
              <w:t xml:space="preserve">, which is </w:t>
            </w:r>
            <w:r w:rsidR="00B66851" w:rsidRPr="00DF7ED9">
              <w:rPr>
                <w:rFonts w:ascii="Arial" w:eastAsia="Arial" w:hAnsi="Arial" w:cs="Arial"/>
                <w:color w:val="000000"/>
                <w:sz w:val="16"/>
                <w:szCs w:val="16"/>
              </w:rPr>
              <w:t>80</w:t>
            </w:r>
            <w:r w:rsidR="00D56F33" w:rsidRPr="00DF7ED9">
              <w:rPr>
                <w:rFonts w:ascii="Arial" w:eastAsia="Arial" w:hAnsi="Arial" w:cs="Arial"/>
                <w:color w:val="000000"/>
                <w:sz w:val="16"/>
                <w:szCs w:val="16"/>
              </w:rPr>
              <w:t>%</w:t>
            </w:r>
            <w:r w:rsidR="00C24AAF" w:rsidRPr="00DF7ED9">
              <w:rPr>
                <w:rFonts w:ascii="Arial" w:eastAsia="Arial" w:hAnsi="Arial" w:cs="Arial"/>
                <w:color w:val="000000"/>
                <w:sz w:val="16"/>
                <w:szCs w:val="16"/>
              </w:rPr>
              <w:t xml:space="preserve"> of the hypothetical </w:t>
            </w:r>
            <w:r w:rsidR="00B07BDF" w:rsidRPr="00DF7ED9">
              <w:rPr>
                <w:rFonts w:ascii="Arial" w:eastAsia="Arial" w:hAnsi="Arial" w:cs="Arial"/>
                <w:color w:val="000000"/>
                <w:sz w:val="16"/>
                <w:szCs w:val="16"/>
              </w:rPr>
              <w:t>initial index value</w:t>
            </w:r>
          </w:p>
        </w:tc>
      </w:tr>
      <w:tr w:rsidR="00BD53EC" w:rsidRPr="00DF7ED9" w14:paraId="0B37CC69" w14:textId="77777777" w:rsidTr="00CE794F">
        <w:trPr>
          <w:cantSplit/>
          <w:tblCellSpacing w:w="0" w:type="dxa"/>
        </w:trPr>
        <w:tc>
          <w:tcPr>
            <w:tcW w:w="1475" w:type="pct"/>
            <w:shd w:val="clear" w:color="auto" w:fill="FFFFFF"/>
            <w:tcMar>
              <w:top w:w="0" w:type="dxa"/>
              <w:left w:w="119" w:type="dxa"/>
              <w:bottom w:w="0" w:type="dxa"/>
              <w:right w:w="119" w:type="dxa"/>
            </w:tcMar>
            <w:hideMark/>
          </w:tcPr>
          <w:p w14:paraId="6FBBF656" w14:textId="77777777" w:rsidR="002C6D14" w:rsidRPr="00DF7ED9" w:rsidRDefault="00C24AAF">
            <w:pPr>
              <w:spacing w:before="22" w:after="44" w:line="200" w:lineRule="atLeast"/>
              <w:rPr>
                <w:color w:val="000000"/>
                <w:sz w:val="16"/>
                <w:szCs w:val="16"/>
              </w:rPr>
            </w:pPr>
            <w:r w:rsidRPr="00DF7ED9">
              <w:rPr>
                <w:rFonts w:ascii="Arial" w:eastAsia="Arial" w:hAnsi="Arial" w:cs="Arial"/>
                <w:color w:val="000000"/>
                <w:sz w:val="16"/>
                <w:szCs w:val="16"/>
              </w:rPr>
              <w:t xml:space="preserve">Contingent </w:t>
            </w:r>
            <w:r w:rsidR="000676BD" w:rsidRPr="00DF7ED9">
              <w:rPr>
                <w:rFonts w:ascii="Arial" w:eastAsia="Arial" w:hAnsi="Arial" w:cs="Arial"/>
                <w:color w:val="000000"/>
                <w:sz w:val="16"/>
                <w:szCs w:val="16"/>
              </w:rPr>
              <w:t>Quarterly Coupon:</w:t>
            </w:r>
          </w:p>
        </w:tc>
        <w:tc>
          <w:tcPr>
            <w:tcW w:w="3525" w:type="pct"/>
            <w:shd w:val="clear" w:color="auto" w:fill="FFFFFF"/>
            <w:tcMar>
              <w:top w:w="0" w:type="dxa"/>
              <w:left w:w="119" w:type="dxa"/>
              <w:bottom w:w="0" w:type="dxa"/>
              <w:right w:w="119" w:type="dxa"/>
            </w:tcMar>
            <w:vAlign w:val="center"/>
            <w:hideMark/>
          </w:tcPr>
          <w:p w14:paraId="18E627E6" w14:textId="52DFEE20" w:rsidR="002C6D14" w:rsidRPr="00DF7ED9" w:rsidRDefault="00A80421" w:rsidP="004D5C3A">
            <w:pPr>
              <w:spacing w:before="22" w:after="44" w:line="180" w:lineRule="atLeast"/>
              <w:rPr>
                <w:color w:val="000000"/>
                <w:sz w:val="16"/>
                <w:szCs w:val="16"/>
              </w:rPr>
            </w:pPr>
            <w:r>
              <w:rPr>
                <w:rFonts w:ascii="Arial" w:eastAsia="Arial" w:hAnsi="Arial" w:cs="Arial"/>
                <w:color w:val="000000"/>
                <w:sz w:val="16"/>
                <w:szCs w:val="16"/>
              </w:rPr>
              <w:t>$21.375</w:t>
            </w:r>
            <w:r w:rsidR="00B95586" w:rsidRPr="00DF7ED9">
              <w:rPr>
                <w:rFonts w:ascii="Arial" w:eastAsia="Arial" w:hAnsi="Arial" w:cs="Arial"/>
                <w:color w:val="000000"/>
                <w:sz w:val="16"/>
                <w:szCs w:val="16"/>
              </w:rPr>
              <w:t xml:space="preserve"> </w:t>
            </w:r>
            <w:r w:rsidR="00CA382B" w:rsidRPr="00DF7ED9">
              <w:rPr>
                <w:rFonts w:ascii="Arial" w:eastAsia="Arial" w:hAnsi="Arial" w:cs="Arial"/>
                <w:color w:val="000000"/>
                <w:sz w:val="16"/>
                <w:szCs w:val="16"/>
              </w:rPr>
              <w:t>per security</w:t>
            </w:r>
            <w:r w:rsidR="00C24AAF" w:rsidRPr="00DF7ED9">
              <w:rPr>
                <w:rFonts w:ascii="Arial" w:eastAsia="Arial" w:hAnsi="Arial" w:cs="Arial"/>
                <w:color w:val="000000"/>
                <w:sz w:val="16"/>
                <w:szCs w:val="16"/>
              </w:rPr>
              <w:t xml:space="preserve"> (equal to a rate of </w:t>
            </w:r>
            <w:r>
              <w:rPr>
                <w:rFonts w:ascii="Arial" w:eastAsia="Arial" w:hAnsi="Arial" w:cs="Arial"/>
                <w:color w:val="000000"/>
                <w:sz w:val="16"/>
                <w:szCs w:val="16"/>
              </w:rPr>
              <w:t>2.1375%</w:t>
            </w:r>
            <w:r w:rsidR="00C24AAF" w:rsidRPr="00DF7ED9">
              <w:rPr>
                <w:rFonts w:ascii="Arial" w:eastAsia="Arial" w:hAnsi="Arial" w:cs="Arial"/>
                <w:color w:val="000000"/>
                <w:sz w:val="16"/>
                <w:szCs w:val="16"/>
              </w:rPr>
              <w:t xml:space="preserve"> </w:t>
            </w:r>
            <w:r w:rsidR="007B0F05" w:rsidRPr="00DF7ED9">
              <w:rPr>
                <w:rFonts w:ascii="Arial" w:eastAsia="Arial" w:hAnsi="Arial" w:cs="Arial"/>
                <w:color w:val="000000"/>
                <w:sz w:val="16"/>
                <w:szCs w:val="16"/>
              </w:rPr>
              <w:t xml:space="preserve">per quarter or </w:t>
            </w:r>
            <w:r>
              <w:rPr>
                <w:rFonts w:ascii="Arial" w:eastAsia="Arial" w:hAnsi="Arial" w:cs="Arial"/>
                <w:color w:val="000000"/>
                <w:sz w:val="16"/>
                <w:szCs w:val="16"/>
              </w:rPr>
              <w:t>8.55%</w:t>
            </w:r>
            <w:r w:rsidR="007B0F05" w:rsidRPr="00DF7ED9">
              <w:rPr>
                <w:rFonts w:ascii="Arial" w:eastAsia="Arial" w:hAnsi="Arial" w:cs="Arial"/>
                <w:color w:val="000000"/>
                <w:sz w:val="16"/>
                <w:szCs w:val="16"/>
              </w:rPr>
              <w:t xml:space="preserve"> per annum)</w:t>
            </w:r>
            <w:r w:rsidR="004D5C3A" w:rsidRPr="00DF7ED9">
              <w:rPr>
                <w:rFonts w:ascii="Arial" w:eastAsia="Arial" w:hAnsi="Arial" w:cs="Arial"/>
                <w:color w:val="000000"/>
                <w:sz w:val="16"/>
                <w:szCs w:val="16"/>
              </w:rPr>
              <w:t>.</w:t>
            </w:r>
            <w:r w:rsidR="00867B80" w:rsidRPr="00DF7ED9">
              <w:rPr>
                <w:rFonts w:ascii="Arial" w:eastAsia="Arial" w:hAnsi="Arial" w:cs="Arial"/>
                <w:color w:val="000000"/>
                <w:sz w:val="16"/>
                <w:szCs w:val="16"/>
              </w:rPr>
              <w:t xml:space="preserve"> </w:t>
            </w:r>
          </w:p>
          <w:p w14:paraId="50955056" w14:textId="77777777" w:rsidR="002C6D14" w:rsidRPr="00DF7ED9" w:rsidRDefault="00C24AAF">
            <w:pPr>
              <w:spacing w:before="22" w:after="44" w:line="180" w:lineRule="atLeast"/>
              <w:rPr>
                <w:color w:val="000000"/>
                <w:sz w:val="16"/>
                <w:szCs w:val="16"/>
              </w:rPr>
            </w:pPr>
            <w:r w:rsidRPr="00DF7ED9">
              <w:rPr>
                <w:rFonts w:ascii="Arial" w:eastAsia="Arial" w:hAnsi="Arial" w:cs="Arial"/>
                <w:color w:val="000000"/>
                <w:sz w:val="16"/>
                <w:szCs w:val="16"/>
              </w:rPr>
              <w:t xml:space="preserve">A contingent quarterly coupon is paid on each coupon payment date </w:t>
            </w:r>
            <w:r w:rsidRPr="00DF7ED9">
              <w:rPr>
                <w:rFonts w:ascii="Arial" w:eastAsia="Arial" w:hAnsi="Arial" w:cs="Arial"/>
                <w:b/>
                <w:bCs/>
                <w:color w:val="000000"/>
                <w:sz w:val="16"/>
                <w:szCs w:val="16"/>
              </w:rPr>
              <w:t xml:space="preserve">but only if the </w:t>
            </w:r>
            <w:r w:rsidR="004B51F0" w:rsidRPr="00DF7ED9">
              <w:rPr>
                <w:rFonts w:ascii="Arial" w:eastAsia="Arial" w:hAnsi="Arial" w:cs="Arial"/>
                <w:b/>
                <w:bCs/>
                <w:color w:val="000000"/>
                <w:sz w:val="16"/>
                <w:szCs w:val="16"/>
              </w:rPr>
              <w:t>index closing value</w:t>
            </w:r>
            <w:r w:rsidRPr="00DF7ED9">
              <w:rPr>
                <w:rFonts w:ascii="Arial" w:eastAsia="Arial" w:hAnsi="Arial" w:cs="Arial"/>
                <w:b/>
                <w:bCs/>
                <w:color w:val="000000"/>
                <w:sz w:val="16"/>
                <w:szCs w:val="16"/>
              </w:rPr>
              <w:t xml:space="preserve"> of the </w:t>
            </w:r>
            <w:r w:rsidR="004B51F0" w:rsidRPr="00DF7ED9">
              <w:rPr>
                <w:rFonts w:ascii="Arial" w:eastAsia="Arial" w:hAnsi="Arial" w:cs="Arial"/>
                <w:b/>
                <w:bCs/>
                <w:color w:val="000000"/>
                <w:sz w:val="16"/>
                <w:szCs w:val="16"/>
              </w:rPr>
              <w:t>underlying index</w:t>
            </w:r>
            <w:r w:rsidRPr="00DF7ED9">
              <w:rPr>
                <w:rFonts w:ascii="Arial" w:eastAsia="Arial" w:hAnsi="Arial" w:cs="Arial"/>
                <w:b/>
                <w:bCs/>
                <w:color w:val="000000"/>
                <w:sz w:val="16"/>
                <w:szCs w:val="16"/>
              </w:rPr>
              <w:t xml:space="preserve"> is at or above the coupon barrier level on the related observation date.</w:t>
            </w:r>
          </w:p>
        </w:tc>
      </w:tr>
      <w:tr w:rsidR="00BD53EC" w:rsidRPr="00DF7ED9" w14:paraId="0D1CD330" w14:textId="77777777" w:rsidTr="00CE794F">
        <w:trPr>
          <w:cantSplit/>
          <w:tblCellSpacing w:w="0" w:type="dxa"/>
        </w:trPr>
        <w:tc>
          <w:tcPr>
            <w:tcW w:w="1475" w:type="pct"/>
            <w:shd w:val="clear" w:color="auto" w:fill="DCEBF4"/>
            <w:tcMar>
              <w:top w:w="0" w:type="dxa"/>
              <w:left w:w="119" w:type="dxa"/>
              <w:bottom w:w="0" w:type="dxa"/>
              <w:right w:w="119" w:type="dxa"/>
            </w:tcMar>
            <w:hideMark/>
          </w:tcPr>
          <w:p w14:paraId="76A99176" w14:textId="77777777" w:rsidR="002C6D14" w:rsidRPr="00DF7ED9" w:rsidRDefault="00C24AAF">
            <w:pPr>
              <w:spacing w:before="22" w:after="44" w:line="200" w:lineRule="atLeast"/>
              <w:rPr>
                <w:color w:val="000000"/>
                <w:sz w:val="16"/>
                <w:szCs w:val="16"/>
              </w:rPr>
            </w:pPr>
            <w:r w:rsidRPr="00DF7ED9">
              <w:rPr>
                <w:rFonts w:ascii="Arial" w:eastAsia="Arial" w:hAnsi="Arial" w:cs="Arial"/>
                <w:color w:val="000000"/>
                <w:sz w:val="16"/>
                <w:szCs w:val="16"/>
              </w:rPr>
              <w:t>Call Feature:</w:t>
            </w:r>
          </w:p>
        </w:tc>
        <w:tc>
          <w:tcPr>
            <w:tcW w:w="3525" w:type="pct"/>
            <w:shd w:val="clear" w:color="auto" w:fill="DCEBF4"/>
            <w:tcMar>
              <w:top w:w="0" w:type="dxa"/>
              <w:left w:w="119" w:type="dxa"/>
              <w:bottom w:w="0" w:type="dxa"/>
              <w:right w:w="119" w:type="dxa"/>
            </w:tcMar>
            <w:vAlign w:val="center"/>
            <w:hideMark/>
          </w:tcPr>
          <w:p w14:paraId="623E5A58" w14:textId="2FC3AAD5" w:rsidR="002C6D14" w:rsidRPr="00DF7ED9" w:rsidRDefault="00C24AAF">
            <w:pPr>
              <w:spacing w:before="22" w:after="44" w:line="180" w:lineRule="atLeast"/>
              <w:rPr>
                <w:color w:val="000000"/>
                <w:sz w:val="16"/>
                <w:szCs w:val="16"/>
              </w:rPr>
            </w:pPr>
            <w:r w:rsidRPr="00DF7ED9">
              <w:rPr>
                <w:rFonts w:ascii="Arial" w:eastAsia="Arial" w:hAnsi="Arial" w:cs="Arial"/>
                <w:color w:val="000000"/>
                <w:sz w:val="16"/>
                <w:szCs w:val="16"/>
              </w:rPr>
              <w:t xml:space="preserve">Beginning on </w:t>
            </w:r>
            <w:r w:rsidR="00290387">
              <w:rPr>
                <w:rFonts w:ascii="Arial" w:eastAsia="Arial" w:hAnsi="Arial" w:cs="Arial"/>
                <w:color w:val="000000"/>
                <w:sz w:val="16"/>
                <w:szCs w:val="16"/>
              </w:rPr>
              <w:t>May 26, 2026</w:t>
            </w:r>
            <w:r w:rsidRPr="00DF7ED9">
              <w:rPr>
                <w:rFonts w:ascii="Arial" w:eastAsia="Arial" w:hAnsi="Arial" w:cs="Arial"/>
                <w:color w:val="000000"/>
                <w:sz w:val="16"/>
                <w:szCs w:val="16"/>
              </w:rPr>
              <w:t xml:space="preserve">, on any redemption date, we have the right to redeem all (but not less than all) of the securities for a redemption payment equal to the stated principal amount </w:t>
            </w:r>
            <w:r w:rsidRPr="00DF7ED9">
              <w:rPr>
                <w:rFonts w:ascii="Arial" w:eastAsia="Arial" w:hAnsi="Arial" w:cs="Arial"/>
                <w:i/>
                <w:iCs/>
                <w:color w:val="000000"/>
                <w:sz w:val="16"/>
                <w:szCs w:val="16"/>
              </w:rPr>
              <w:t xml:space="preserve">plus </w:t>
            </w:r>
            <w:r w:rsidRPr="00DF7ED9">
              <w:rPr>
                <w:rFonts w:ascii="Arial" w:eastAsia="Arial" w:hAnsi="Arial" w:cs="Arial"/>
                <w:color w:val="000000"/>
                <w:sz w:val="16"/>
                <w:szCs w:val="16"/>
              </w:rPr>
              <w:t>any contingent quarterly coupon otherwise due with respect to the relevant observation date. We will give notice to the trustee at least five business days but not more than 60 calendar days before the applicable redemption date. No further payments will be made on the securities once they have been redeemed.</w:t>
            </w:r>
          </w:p>
        </w:tc>
      </w:tr>
      <w:tr w:rsidR="00BD53EC" w:rsidRPr="00DF7ED9" w14:paraId="0D356274" w14:textId="77777777" w:rsidTr="00CE794F">
        <w:trPr>
          <w:cantSplit/>
          <w:tblCellSpacing w:w="0" w:type="dxa"/>
        </w:trPr>
        <w:tc>
          <w:tcPr>
            <w:tcW w:w="1475" w:type="pct"/>
            <w:shd w:val="clear" w:color="auto" w:fill="FFFFFF"/>
            <w:tcMar>
              <w:top w:w="0" w:type="dxa"/>
              <w:left w:w="119" w:type="dxa"/>
              <w:bottom w:w="0" w:type="dxa"/>
              <w:right w:w="119" w:type="dxa"/>
            </w:tcMar>
            <w:hideMark/>
          </w:tcPr>
          <w:p w14:paraId="25DE9D86" w14:textId="77777777" w:rsidR="002C6D14" w:rsidRPr="00DF7ED9" w:rsidRDefault="00C24AAF">
            <w:pPr>
              <w:spacing w:before="22" w:after="44" w:line="200" w:lineRule="atLeast"/>
              <w:rPr>
                <w:color w:val="000000"/>
                <w:sz w:val="16"/>
                <w:szCs w:val="16"/>
              </w:rPr>
            </w:pPr>
            <w:r w:rsidRPr="00DF7ED9">
              <w:rPr>
                <w:rFonts w:ascii="Arial" w:eastAsia="Arial" w:hAnsi="Arial" w:cs="Arial"/>
                <w:color w:val="000000"/>
                <w:sz w:val="16"/>
                <w:szCs w:val="16"/>
              </w:rPr>
              <w:t>Payment at Maturity (if the securities have not been redeemed early):</w:t>
            </w:r>
          </w:p>
        </w:tc>
        <w:tc>
          <w:tcPr>
            <w:tcW w:w="3525" w:type="pct"/>
            <w:shd w:val="clear" w:color="auto" w:fill="FFFFFF"/>
            <w:tcMar>
              <w:top w:w="0" w:type="dxa"/>
              <w:left w:w="119" w:type="dxa"/>
              <w:bottom w:w="0" w:type="dxa"/>
              <w:right w:w="119" w:type="dxa"/>
            </w:tcMar>
            <w:vAlign w:val="center"/>
            <w:hideMark/>
          </w:tcPr>
          <w:p w14:paraId="684DE349" w14:textId="77777777" w:rsidR="002C6D14" w:rsidRPr="00DF7ED9" w:rsidRDefault="00C24AAF">
            <w:pPr>
              <w:spacing w:before="22" w:after="44" w:line="180" w:lineRule="atLeast"/>
              <w:rPr>
                <w:color w:val="000000"/>
                <w:sz w:val="16"/>
                <w:szCs w:val="16"/>
              </w:rPr>
            </w:pPr>
            <w:r w:rsidRPr="00DF7ED9">
              <w:rPr>
                <w:rFonts w:ascii="Arial" w:eastAsia="Arial" w:hAnsi="Arial" w:cs="Arial"/>
                <w:color w:val="000000"/>
                <w:sz w:val="16"/>
                <w:szCs w:val="16"/>
              </w:rPr>
              <w:t xml:space="preserve">If the </w:t>
            </w:r>
            <w:r w:rsidR="00B07BDF" w:rsidRPr="00DF7ED9">
              <w:rPr>
                <w:rFonts w:ascii="Arial" w:eastAsia="Arial" w:hAnsi="Arial" w:cs="Arial"/>
                <w:color w:val="000000"/>
                <w:sz w:val="16"/>
                <w:szCs w:val="16"/>
              </w:rPr>
              <w:t>final index value</w:t>
            </w:r>
            <w:r w:rsidRPr="00DF7ED9">
              <w:rPr>
                <w:rFonts w:ascii="Arial" w:eastAsia="Arial" w:hAnsi="Arial" w:cs="Arial"/>
                <w:color w:val="000000"/>
                <w:sz w:val="16"/>
                <w:szCs w:val="16"/>
              </w:rPr>
              <w:t xml:space="preserve"> is </w:t>
            </w:r>
            <w:r w:rsidRPr="00DF7ED9">
              <w:rPr>
                <w:rFonts w:ascii="Arial" w:eastAsia="Arial" w:hAnsi="Arial" w:cs="Arial"/>
                <w:b/>
                <w:bCs/>
                <w:color w:val="000000"/>
                <w:sz w:val="16"/>
                <w:szCs w:val="16"/>
              </w:rPr>
              <w:t>greater than or equal to</w:t>
            </w:r>
            <w:r w:rsidRPr="00DF7ED9">
              <w:rPr>
                <w:rFonts w:ascii="Arial" w:eastAsia="Arial" w:hAnsi="Arial" w:cs="Arial"/>
                <w:color w:val="000000"/>
                <w:sz w:val="16"/>
                <w:szCs w:val="16"/>
              </w:rPr>
              <w:t xml:space="preserve"> the downside threshold level:  the stated principal amount, and the contingent quarterly coupon with respect to the final observation date</w:t>
            </w:r>
          </w:p>
          <w:p w14:paraId="0F155DE9" w14:textId="77777777" w:rsidR="002C6D14" w:rsidRPr="00DF7ED9" w:rsidRDefault="00C24AAF">
            <w:pPr>
              <w:spacing w:before="22" w:after="44" w:line="180" w:lineRule="atLeast"/>
              <w:rPr>
                <w:color w:val="000000"/>
                <w:sz w:val="16"/>
                <w:szCs w:val="16"/>
              </w:rPr>
            </w:pPr>
            <w:r w:rsidRPr="00DF7ED9">
              <w:rPr>
                <w:rFonts w:ascii="Arial" w:eastAsia="Arial" w:hAnsi="Arial" w:cs="Arial"/>
                <w:color w:val="000000"/>
                <w:sz w:val="16"/>
                <w:szCs w:val="16"/>
              </w:rPr>
              <w:t> </w:t>
            </w:r>
          </w:p>
          <w:p w14:paraId="41C066D2" w14:textId="77777777" w:rsidR="002C6D14" w:rsidRPr="00DF7ED9" w:rsidRDefault="00C24AAF">
            <w:pPr>
              <w:spacing w:before="22" w:after="44" w:line="180" w:lineRule="atLeast"/>
              <w:rPr>
                <w:color w:val="000000"/>
                <w:sz w:val="16"/>
                <w:szCs w:val="16"/>
              </w:rPr>
            </w:pPr>
            <w:r w:rsidRPr="00DF7ED9">
              <w:rPr>
                <w:rFonts w:ascii="Arial" w:eastAsia="Arial" w:hAnsi="Arial" w:cs="Arial"/>
                <w:color w:val="000000"/>
                <w:sz w:val="16"/>
                <w:szCs w:val="16"/>
              </w:rPr>
              <w:t xml:space="preserve">If the </w:t>
            </w:r>
            <w:r w:rsidR="00B07BDF" w:rsidRPr="00DF7ED9">
              <w:rPr>
                <w:rFonts w:ascii="Arial" w:eastAsia="Arial" w:hAnsi="Arial" w:cs="Arial"/>
                <w:color w:val="000000"/>
                <w:sz w:val="16"/>
                <w:szCs w:val="16"/>
              </w:rPr>
              <w:t>final index value</w:t>
            </w:r>
            <w:r w:rsidRPr="00DF7ED9">
              <w:rPr>
                <w:rFonts w:ascii="Arial" w:eastAsia="Arial" w:hAnsi="Arial" w:cs="Arial"/>
                <w:color w:val="000000"/>
                <w:sz w:val="16"/>
                <w:szCs w:val="16"/>
              </w:rPr>
              <w:t xml:space="preserve"> is </w:t>
            </w:r>
            <w:r w:rsidRPr="00DF7ED9">
              <w:rPr>
                <w:rFonts w:ascii="Arial" w:eastAsia="Arial" w:hAnsi="Arial" w:cs="Arial"/>
                <w:b/>
                <w:bCs/>
                <w:color w:val="000000"/>
                <w:sz w:val="16"/>
                <w:szCs w:val="16"/>
              </w:rPr>
              <w:t>less than</w:t>
            </w:r>
            <w:r w:rsidRPr="00DF7ED9">
              <w:rPr>
                <w:rFonts w:ascii="Arial" w:eastAsia="Arial" w:hAnsi="Arial" w:cs="Arial"/>
                <w:color w:val="000000"/>
                <w:sz w:val="16"/>
                <w:szCs w:val="16"/>
              </w:rPr>
              <w:t xml:space="preserve"> the downside threshold level: (i) the stated principal amount </w:t>
            </w:r>
            <w:r w:rsidRPr="00DF7ED9">
              <w:rPr>
                <w:rFonts w:ascii="Arial" w:eastAsia="Arial" w:hAnsi="Arial" w:cs="Arial"/>
                <w:i/>
                <w:iCs/>
                <w:color w:val="000000"/>
                <w:sz w:val="16"/>
                <w:szCs w:val="16"/>
              </w:rPr>
              <w:t>multiplied by</w:t>
            </w:r>
            <w:r w:rsidRPr="00DF7ED9">
              <w:rPr>
                <w:rFonts w:ascii="Arial" w:eastAsia="Arial" w:hAnsi="Arial" w:cs="Arial"/>
                <w:color w:val="000000"/>
                <w:sz w:val="16"/>
                <w:szCs w:val="16"/>
              </w:rPr>
              <w:t xml:space="preserve"> (ii) the index performance factor</w:t>
            </w:r>
          </w:p>
        </w:tc>
      </w:tr>
      <w:tr w:rsidR="00BD53EC" w:rsidRPr="00DF7ED9" w14:paraId="78C29A87" w14:textId="77777777" w:rsidTr="00CE794F">
        <w:trPr>
          <w:cantSplit/>
          <w:tblCellSpacing w:w="0" w:type="dxa"/>
        </w:trPr>
        <w:tc>
          <w:tcPr>
            <w:tcW w:w="1475" w:type="pct"/>
            <w:shd w:val="clear" w:color="auto" w:fill="DCEBF4"/>
            <w:tcMar>
              <w:top w:w="0" w:type="dxa"/>
              <w:left w:w="119" w:type="dxa"/>
              <w:bottom w:w="0" w:type="dxa"/>
              <w:right w:w="119" w:type="dxa"/>
            </w:tcMar>
            <w:hideMark/>
          </w:tcPr>
          <w:p w14:paraId="540EBFA6" w14:textId="77777777" w:rsidR="002C6D14" w:rsidRPr="00DF7ED9" w:rsidRDefault="00C24AAF">
            <w:pPr>
              <w:spacing w:before="33" w:after="33" w:line="200" w:lineRule="atLeast"/>
              <w:rPr>
                <w:color w:val="000000"/>
                <w:sz w:val="16"/>
                <w:szCs w:val="16"/>
              </w:rPr>
            </w:pPr>
            <w:r w:rsidRPr="00DF7ED9">
              <w:rPr>
                <w:rFonts w:ascii="Arial" w:eastAsia="Arial" w:hAnsi="Arial" w:cs="Arial"/>
                <w:color w:val="000000"/>
                <w:sz w:val="16"/>
                <w:szCs w:val="16"/>
              </w:rPr>
              <w:t>Stated Principal Amount:</w:t>
            </w:r>
          </w:p>
        </w:tc>
        <w:tc>
          <w:tcPr>
            <w:tcW w:w="3525" w:type="pct"/>
            <w:shd w:val="clear" w:color="auto" w:fill="DCEBF4"/>
            <w:tcMar>
              <w:top w:w="0" w:type="dxa"/>
              <w:left w:w="119" w:type="dxa"/>
              <w:bottom w:w="0" w:type="dxa"/>
              <w:right w:w="119" w:type="dxa"/>
            </w:tcMar>
            <w:vAlign w:val="center"/>
            <w:hideMark/>
          </w:tcPr>
          <w:p w14:paraId="54DB3665" w14:textId="77777777" w:rsidR="002C6D14" w:rsidRPr="00DF7ED9" w:rsidRDefault="00C24AAF">
            <w:pPr>
              <w:spacing w:before="33" w:after="33" w:line="200" w:lineRule="atLeast"/>
              <w:rPr>
                <w:color w:val="000000"/>
                <w:sz w:val="16"/>
                <w:szCs w:val="16"/>
              </w:rPr>
            </w:pPr>
            <w:r w:rsidRPr="00DF7ED9">
              <w:rPr>
                <w:rFonts w:ascii="Arial" w:eastAsia="Arial" w:hAnsi="Arial" w:cs="Arial"/>
                <w:color w:val="000000"/>
                <w:sz w:val="16"/>
                <w:szCs w:val="16"/>
              </w:rPr>
              <w:t>$1,000</w:t>
            </w:r>
          </w:p>
        </w:tc>
      </w:tr>
    </w:tbl>
    <w:p w14:paraId="5CAF2514" w14:textId="77777777" w:rsidR="002C6D14" w:rsidRPr="00DF7ED9" w:rsidRDefault="00C24AAF" w:rsidP="00EC77FC">
      <w:pPr>
        <w:spacing w:after="160"/>
        <w:ind w:right="58"/>
        <w:rPr>
          <w:sz w:val="16"/>
          <w:szCs w:val="16"/>
        </w:rPr>
      </w:pPr>
      <w:r w:rsidRPr="00DF7ED9">
        <w:rPr>
          <w:rFonts w:ascii="Arial" w:eastAsia="Arial" w:hAnsi="Arial" w:cs="Arial"/>
          <w:sz w:val="16"/>
          <w:szCs w:val="16"/>
        </w:rPr>
        <w:t>In Example 1, we redeem the securities on one of the redemption dates, and no further payments are made on the securities after they have been redeemed.  In Examples 2, 3, and 4, the securities are not redeemed prior to, and remain outstanding until, maturity.</w:t>
      </w:r>
    </w:p>
    <w:p w14:paraId="462E49CE" w14:textId="23F5B73A" w:rsidR="002C6D14" w:rsidRPr="00DF7ED9" w:rsidRDefault="00C24AAF" w:rsidP="00EC77FC">
      <w:pPr>
        <w:spacing w:after="160"/>
        <w:ind w:right="58"/>
        <w:rPr>
          <w:sz w:val="16"/>
          <w:szCs w:val="16"/>
        </w:rPr>
      </w:pPr>
      <w:r w:rsidRPr="00DF7ED9">
        <w:rPr>
          <w:rFonts w:ascii="Arial" w:eastAsia="Arial" w:hAnsi="Arial" w:cs="Arial"/>
          <w:b/>
          <w:bCs/>
          <w:sz w:val="16"/>
          <w:szCs w:val="16"/>
        </w:rPr>
        <w:t>Example 1</w:t>
      </w:r>
      <w:r w:rsidRPr="00DF7ED9">
        <w:rPr>
          <w:rFonts w:ascii="Arial" w:eastAsia="Arial" w:hAnsi="Arial" w:cs="Arial"/>
          <w:sz w:val="16"/>
          <w:szCs w:val="16"/>
        </w:rPr>
        <w:t>-We redeem the securities on</w:t>
      </w:r>
      <w:r w:rsidR="008A6E8D">
        <w:rPr>
          <w:rFonts w:ascii="Arial" w:eastAsia="Arial" w:hAnsi="Arial" w:cs="Arial"/>
          <w:sz w:val="16"/>
          <w:szCs w:val="16"/>
        </w:rPr>
        <w:t xml:space="preserve"> </w:t>
      </w:r>
      <w:r w:rsidR="00CB466B">
        <w:rPr>
          <w:rFonts w:ascii="Helvetica" w:eastAsia="Helvetica" w:hAnsi="Helvetica"/>
          <w:sz w:val="16"/>
        </w:rPr>
        <w:t>February 25, 2027</w:t>
      </w:r>
      <w:r w:rsidRPr="00DF7ED9">
        <w:rPr>
          <w:rFonts w:ascii="Arial" w:eastAsia="Arial" w:hAnsi="Arial" w:cs="Arial"/>
          <w:sz w:val="16"/>
          <w:szCs w:val="16"/>
        </w:rPr>
        <w:t xml:space="preserve">.  The </w:t>
      </w:r>
      <w:r w:rsidR="004B51F0" w:rsidRPr="00DF7ED9">
        <w:rPr>
          <w:rFonts w:ascii="Arial" w:eastAsia="Arial" w:hAnsi="Arial" w:cs="Arial"/>
          <w:sz w:val="16"/>
          <w:szCs w:val="16"/>
        </w:rPr>
        <w:t>index closing value</w:t>
      </w:r>
      <w:r w:rsidRPr="00DF7ED9">
        <w:rPr>
          <w:rFonts w:ascii="Arial" w:eastAsia="Arial" w:hAnsi="Arial" w:cs="Arial"/>
          <w:sz w:val="16"/>
          <w:szCs w:val="16"/>
        </w:rPr>
        <w:t xml:space="preserve"> is at or above the coupon barrier level on all </w:t>
      </w:r>
      <w:r w:rsidR="002E3DAC" w:rsidRPr="00DF7ED9">
        <w:rPr>
          <w:rFonts w:ascii="Arial" w:eastAsia="Arial" w:hAnsi="Arial" w:cs="Arial"/>
          <w:sz w:val="16"/>
          <w:szCs w:val="16"/>
        </w:rPr>
        <w:t>3</w:t>
      </w:r>
      <w:r w:rsidRPr="00DF7ED9">
        <w:rPr>
          <w:rFonts w:ascii="Arial" w:eastAsia="Arial" w:hAnsi="Arial" w:cs="Arial"/>
          <w:sz w:val="16"/>
          <w:szCs w:val="16"/>
        </w:rPr>
        <w:t xml:space="preserve"> quarterly observation dates prior to (and excluding) the observation date immediately preceding the redemption</w:t>
      </w:r>
      <w:r w:rsidR="002E3DAC" w:rsidRPr="00DF7ED9">
        <w:rPr>
          <w:rFonts w:ascii="Arial" w:eastAsia="Arial" w:hAnsi="Arial" w:cs="Arial"/>
          <w:sz w:val="16"/>
          <w:szCs w:val="16"/>
        </w:rPr>
        <w:t xml:space="preserve"> date</w:t>
      </w:r>
      <w:r w:rsidRPr="00DF7ED9">
        <w:rPr>
          <w:rFonts w:ascii="Arial" w:eastAsia="Arial" w:hAnsi="Arial" w:cs="Arial"/>
          <w:sz w:val="16"/>
          <w:szCs w:val="16"/>
        </w:rPr>
        <w:t>.  Therefore, you would receive the contingent quarterly coupons with respect to th</w:t>
      </w:r>
      <w:r w:rsidR="002E3DAC" w:rsidRPr="00DF7ED9">
        <w:rPr>
          <w:rFonts w:ascii="Arial" w:eastAsia="Arial" w:hAnsi="Arial" w:cs="Arial"/>
          <w:sz w:val="16"/>
          <w:szCs w:val="16"/>
        </w:rPr>
        <w:t>os</w:t>
      </w:r>
      <w:r w:rsidRPr="00DF7ED9">
        <w:rPr>
          <w:rFonts w:ascii="Arial" w:eastAsia="Arial" w:hAnsi="Arial" w:cs="Arial"/>
          <w:sz w:val="16"/>
          <w:szCs w:val="16"/>
        </w:rPr>
        <w:t xml:space="preserve">e </w:t>
      </w:r>
      <w:r w:rsidR="002E3DAC" w:rsidRPr="00DF7ED9">
        <w:rPr>
          <w:rFonts w:ascii="Arial" w:eastAsia="Arial" w:hAnsi="Arial" w:cs="Arial"/>
          <w:sz w:val="16"/>
          <w:szCs w:val="16"/>
        </w:rPr>
        <w:t>3</w:t>
      </w:r>
      <w:r w:rsidRPr="00DF7ED9">
        <w:rPr>
          <w:rFonts w:ascii="Arial" w:eastAsia="Arial" w:hAnsi="Arial" w:cs="Arial"/>
          <w:sz w:val="16"/>
          <w:szCs w:val="16"/>
        </w:rPr>
        <w:t xml:space="preserve"> observation dates, totaling </w:t>
      </w:r>
      <w:r w:rsidR="00A80421">
        <w:rPr>
          <w:rFonts w:ascii="Arial" w:eastAsia="Arial" w:hAnsi="Arial" w:cs="Arial"/>
          <w:sz w:val="16"/>
          <w:szCs w:val="16"/>
        </w:rPr>
        <w:t>$21.375</w:t>
      </w:r>
      <w:r w:rsidR="00B95586" w:rsidRPr="00DF7ED9">
        <w:rPr>
          <w:rFonts w:ascii="Arial" w:eastAsia="Arial" w:hAnsi="Arial" w:cs="Arial"/>
          <w:sz w:val="16"/>
          <w:szCs w:val="16"/>
        </w:rPr>
        <w:t xml:space="preserve"> </w:t>
      </w:r>
      <w:r w:rsidRPr="00DF7ED9">
        <w:rPr>
          <w:rFonts w:ascii="Arial" w:eastAsia="Arial" w:hAnsi="Arial" w:cs="Arial"/>
          <w:sz w:val="16"/>
          <w:szCs w:val="16"/>
        </w:rPr>
        <w:t xml:space="preserve">× </w:t>
      </w:r>
      <w:r w:rsidR="002E3DAC" w:rsidRPr="00DF7ED9">
        <w:rPr>
          <w:rFonts w:ascii="Arial" w:eastAsia="Arial" w:hAnsi="Arial" w:cs="Arial"/>
          <w:sz w:val="16"/>
          <w:szCs w:val="16"/>
        </w:rPr>
        <w:t>3</w:t>
      </w:r>
      <w:r w:rsidRPr="00DF7ED9">
        <w:rPr>
          <w:rFonts w:ascii="Arial" w:eastAsia="Arial" w:hAnsi="Arial" w:cs="Arial"/>
          <w:sz w:val="16"/>
          <w:szCs w:val="16"/>
        </w:rPr>
        <w:t xml:space="preserve"> = </w:t>
      </w:r>
      <w:r w:rsidR="00E778FF" w:rsidRPr="00DF7ED9">
        <w:rPr>
          <w:rFonts w:ascii="Arial" w:eastAsia="Arial" w:hAnsi="Arial" w:cs="Arial"/>
          <w:sz w:val="16"/>
          <w:szCs w:val="16"/>
        </w:rPr>
        <w:t>$</w:t>
      </w:r>
      <w:r w:rsidR="00CB466B">
        <w:rPr>
          <w:rFonts w:ascii="Arial" w:eastAsia="Arial" w:hAnsi="Arial" w:cs="Arial"/>
          <w:sz w:val="16"/>
          <w:szCs w:val="16"/>
        </w:rPr>
        <w:t>64.125</w:t>
      </w:r>
      <w:r w:rsidRPr="00DF7ED9">
        <w:rPr>
          <w:rFonts w:ascii="Arial" w:eastAsia="Arial" w:hAnsi="Arial" w:cs="Arial"/>
          <w:sz w:val="16"/>
          <w:szCs w:val="16"/>
        </w:rPr>
        <w:t xml:space="preserve">.  The </w:t>
      </w:r>
      <w:r w:rsidR="004B51F0" w:rsidRPr="00DF7ED9">
        <w:rPr>
          <w:rFonts w:ascii="Arial" w:eastAsia="Arial" w:hAnsi="Arial" w:cs="Arial"/>
          <w:sz w:val="16"/>
          <w:szCs w:val="16"/>
        </w:rPr>
        <w:t>index closing value</w:t>
      </w:r>
      <w:r w:rsidRPr="00DF7ED9">
        <w:rPr>
          <w:rFonts w:ascii="Arial" w:eastAsia="Arial" w:hAnsi="Arial" w:cs="Arial"/>
          <w:sz w:val="16"/>
          <w:szCs w:val="16"/>
        </w:rPr>
        <w:t xml:space="preserve"> </w:t>
      </w:r>
      <w:r w:rsidR="00892B72" w:rsidRPr="00DF7ED9">
        <w:rPr>
          <w:rFonts w:ascii="Arial" w:eastAsia="Arial" w:hAnsi="Arial" w:cs="Arial"/>
          <w:sz w:val="16"/>
          <w:szCs w:val="16"/>
        </w:rPr>
        <w:t xml:space="preserve">of the </w:t>
      </w:r>
      <w:r w:rsidR="004B51F0" w:rsidRPr="00DF7ED9">
        <w:rPr>
          <w:rFonts w:ascii="Arial" w:eastAsia="Arial" w:hAnsi="Arial" w:cs="Arial"/>
          <w:sz w:val="16"/>
          <w:szCs w:val="16"/>
        </w:rPr>
        <w:t>underlying index</w:t>
      </w:r>
      <w:r w:rsidR="00892B72" w:rsidRPr="00DF7ED9">
        <w:rPr>
          <w:rFonts w:ascii="Arial" w:eastAsia="Arial" w:hAnsi="Arial" w:cs="Arial"/>
          <w:sz w:val="16"/>
          <w:szCs w:val="16"/>
        </w:rPr>
        <w:t xml:space="preserve"> </w:t>
      </w:r>
      <w:r w:rsidRPr="00DF7ED9">
        <w:rPr>
          <w:rFonts w:ascii="Arial" w:eastAsia="Arial" w:hAnsi="Arial" w:cs="Arial"/>
          <w:sz w:val="16"/>
          <w:szCs w:val="16"/>
        </w:rPr>
        <w:t xml:space="preserve">is greater than or equal to the coupon barrier level on the observation date in </w:t>
      </w:r>
      <w:r w:rsidR="000806C4">
        <w:rPr>
          <w:rFonts w:ascii="Arial" w:eastAsia="Arial" w:hAnsi="Arial" w:cs="Arial"/>
          <w:sz w:val="16"/>
          <w:szCs w:val="16"/>
        </w:rPr>
        <w:t>February 2027</w:t>
      </w:r>
      <w:r w:rsidRPr="00DF7ED9">
        <w:rPr>
          <w:rFonts w:ascii="Arial" w:eastAsia="Arial" w:hAnsi="Arial" w:cs="Arial"/>
          <w:sz w:val="16"/>
          <w:szCs w:val="16"/>
        </w:rPr>
        <w:t>.  Upon redemption, investors receive the redemption payment</w:t>
      </w:r>
      <w:r w:rsidR="00596108" w:rsidRPr="00DF7ED9">
        <w:rPr>
          <w:rFonts w:ascii="Arial" w:eastAsia="Arial" w:hAnsi="Arial" w:cs="Arial"/>
          <w:sz w:val="16"/>
          <w:szCs w:val="16"/>
        </w:rPr>
        <w:t xml:space="preserve"> per security</w:t>
      </w:r>
      <w:r w:rsidRPr="00DF7ED9">
        <w:rPr>
          <w:rFonts w:ascii="Arial" w:eastAsia="Arial" w:hAnsi="Arial" w:cs="Arial"/>
          <w:sz w:val="16"/>
          <w:szCs w:val="16"/>
        </w:rPr>
        <w:t xml:space="preserve"> calculated as $1,000 + </w:t>
      </w:r>
      <w:r w:rsidR="00A80421">
        <w:rPr>
          <w:rFonts w:ascii="Arial" w:eastAsia="Arial" w:hAnsi="Arial" w:cs="Arial"/>
          <w:sz w:val="16"/>
          <w:szCs w:val="16"/>
        </w:rPr>
        <w:t>$21.375</w:t>
      </w:r>
      <w:r w:rsidR="00B95586" w:rsidRPr="00DF7ED9">
        <w:rPr>
          <w:rFonts w:ascii="Arial" w:eastAsia="Arial" w:hAnsi="Arial" w:cs="Arial"/>
          <w:sz w:val="16"/>
          <w:szCs w:val="16"/>
        </w:rPr>
        <w:t xml:space="preserve"> </w:t>
      </w:r>
      <w:r w:rsidRPr="00DF7ED9">
        <w:rPr>
          <w:rFonts w:ascii="Arial" w:eastAsia="Arial" w:hAnsi="Arial" w:cs="Arial"/>
          <w:sz w:val="16"/>
          <w:szCs w:val="16"/>
        </w:rPr>
        <w:t>= $</w:t>
      </w:r>
      <w:r w:rsidR="00D56F33" w:rsidRPr="00DF7ED9">
        <w:rPr>
          <w:rFonts w:ascii="Arial" w:eastAsia="Arial" w:hAnsi="Arial" w:cs="Arial"/>
          <w:sz w:val="16"/>
          <w:szCs w:val="16"/>
        </w:rPr>
        <w:t>1,0</w:t>
      </w:r>
      <w:r w:rsidR="00842F04">
        <w:rPr>
          <w:rFonts w:ascii="Arial" w:eastAsia="Arial" w:hAnsi="Arial" w:cs="Arial"/>
          <w:sz w:val="16"/>
          <w:szCs w:val="16"/>
        </w:rPr>
        <w:t>2</w:t>
      </w:r>
      <w:r w:rsidR="00CB466B">
        <w:rPr>
          <w:rFonts w:ascii="Arial" w:eastAsia="Arial" w:hAnsi="Arial" w:cs="Arial"/>
          <w:sz w:val="16"/>
          <w:szCs w:val="16"/>
        </w:rPr>
        <w:t>1.375</w:t>
      </w:r>
      <w:r w:rsidRPr="00DF7ED9">
        <w:rPr>
          <w:rFonts w:ascii="Arial" w:eastAsia="Arial" w:hAnsi="Arial" w:cs="Arial"/>
          <w:sz w:val="16"/>
          <w:szCs w:val="16"/>
        </w:rPr>
        <w:t>.</w:t>
      </w:r>
    </w:p>
    <w:p w14:paraId="78D23FFF" w14:textId="0CD9E9E8" w:rsidR="002C6D14" w:rsidRPr="00DF7ED9" w:rsidRDefault="00C24AAF" w:rsidP="00EC77FC">
      <w:pPr>
        <w:spacing w:after="160"/>
        <w:ind w:right="58"/>
        <w:rPr>
          <w:rFonts w:ascii="Arial" w:eastAsia="Arial" w:hAnsi="Arial" w:cs="Arial"/>
          <w:sz w:val="16"/>
          <w:szCs w:val="16"/>
        </w:rPr>
      </w:pPr>
      <w:r w:rsidRPr="00DF7ED9">
        <w:rPr>
          <w:rFonts w:ascii="Arial" w:eastAsia="Arial" w:hAnsi="Arial" w:cs="Arial"/>
          <w:sz w:val="16"/>
          <w:szCs w:val="16"/>
        </w:rPr>
        <w:t xml:space="preserve">The total payment over the 1-year term of the securities is </w:t>
      </w:r>
      <w:r w:rsidR="00E778FF" w:rsidRPr="00DF7ED9">
        <w:rPr>
          <w:rFonts w:ascii="Arial" w:eastAsia="Arial" w:hAnsi="Arial" w:cs="Arial"/>
          <w:sz w:val="16"/>
          <w:szCs w:val="16"/>
        </w:rPr>
        <w:t>$</w:t>
      </w:r>
      <w:r w:rsidR="00CB466B">
        <w:rPr>
          <w:rFonts w:ascii="Arial" w:eastAsia="Arial" w:hAnsi="Arial" w:cs="Arial"/>
          <w:sz w:val="16"/>
          <w:szCs w:val="16"/>
        </w:rPr>
        <w:t>64.125</w:t>
      </w:r>
      <w:r w:rsidR="00DA5794">
        <w:rPr>
          <w:rFonts w:ascii="Arial" w:eastAsia="Arial" w:hAnsi="Arial" w:cs="Arial"/>
          <w:sz w:val="16"/>
          <w:szCs w:val="16"/>
        </w:rPr>
        <w:t xml:space="preserve"> </w:t>
      </w:r>
      <w:r w:rsidRPr="00DF7ED9">
        <w:rPr>
          <w:rFonts w:ascii="Arial" w:eastAsia="Arial" w:hAnsi="Arial" w:cs="Arial"/>
          <w:sz w:val="16"/>
          <w:szCs w:val="16"/>
        </w:rPr>
        <w:t>+ $</w:t>
      </w:r>
      <w:r w:rsidR="00D56F33" w:rsidRPr="00DF7ED9">
        <w:rPr>
          <w:rFonts w:ascii="Arial" w:eastAsia="Arial" w:hAnsi="Arial" w:cs="Arial"/>
          <w:sz w:val="16"/>
          <w:szCs w:val="16"/>
        </w:rPr>
        <w:t>1,0</w:t>
      </w:r>
      <w:r w:rsidR="00842F04">
        <w:rPr>
          <w:rFonts w:ascii="Arial" w:eastAsia="Arial" w:hAnsi="Arial" w:cs="Arial"/>
          <w:sz w:val="16"/>
          <w:szCs w:val="16"/>
        </w:rPr>
        <w:t>2</w:t>
      </w:r>
      <w:r w:rsidR="00CB466B">
        <w:rPr>
          <w:rFonts w:ascii="Arial" w:eastAsia="Arial" w:hAnsi="Arial" w:cs="Arial"/>
          <w:sz w:val="16"/>
          <w:szCs w:val="16"/>
        </w:rPr>
        <w:t>1.375</w:t>
      </w:r>
      <w:r w:rsidR="004863AD" w:rsidRPr="004863AD">
        <w:rPr>
          <w:rFonts w:ascii="Arial" w:eastAsia="Arial" w:hAnsi="Arial" w:cs="Arial"/>
          <w:sz w:val="16"/>
          <w:szCs w:val="16"/>
        </w:rPr>
        <w:t xml:space="preserve"> </w:t>
      </w:r>
      <w:r w:rsidRPr="00DF7ED9">
        <w:rPr>
          <w:rFonts w:ascii="Arial" w:eastAsia="Arial" w:hAnsi="Arial" w:cs="Arial"/>
          <w:sz w:val="16"/>
          <w:szCs w:val="16"/>
        </w:rPr>
        <w:t>= $</w:t>
      </w:r>
      <w:r w:rsidR="00C21163" w:rsidRPr="00C21163">
        <w:rPr>
          <w:rFonts w:ascii="Arial" w:eastAsia="Arial" w:hAnsi="Arial" w:cs="Arial"/>
          <w:sz w:val="16"/>
          <w:szCs w:val="16"/>
        </w:rPr>
        <w:t>1,08</w:t>
      </w:r>
      <w:r w:rsidR="00CB466B">
        <w:rPr>
          <w:rFonts w:ascii="Arial" w:eastAsia="Arial" w:hAnsi="Arial" w:cs="Arial"/>
          <w:sz w:val="16"/>
          <w:szCs w:val="16"/>
        </w:rPr>
        <w:t>5</w:t>
      </w:r>
      <w:r w:rsidR="00826F73">
        <w:rPr>
          <w:rFonts w:ascii="Arial" w:eastAsia="Arial" w:hAnsi="Arial" w:cs="Arial"/>
          <w:sz w:val="16"/>
          <w:szCs w:val="16"/>
        </w:rPr>
        <w:t>.</w:t>
      </w:r>
      <w:r w:rsidR="00CB466B">
        <w:rPr>
          <w:rFonts w:ascii="Arial" w:eastAsia="Arial" w:hAnsi="Arial" w:cs="Arial"/>
          <w:sz w:val="16"/>
          <w:szCs w:val="16"/>
        </w:rPr>
        <w:t>5</w:t>
      </w:r>
      <w:r w:rsidR="00826F73">
        <w:rPr>
          <w:rFonts w:ascii="Arial" w:eastAsia="Arial" w:hAnsi="Arial" w:cs="Arial"/>
          <w:sz w:val="16"/>
          <w:szCs w:val="16"/>
        </w:rPr>
        <w:t>0</w:t>
      </w:r>
      <w:r w:rsidR="00C21163" w:rsidRPr="00C21163">
        <w:rPr>
          <w:rFonts w:ascii="Arial" w:eastAsia="Arial" w:hAnsi="Arial" w:cs="Arial"/>
          <w:sz w:val="16"/>
          <w:szCs w:val="16"/>
        </w:rPr>
        <w:t xml:space="preserve"> </w:t>
      </w:r>
      <w:r w:rsidR="00596108" w:rsidRPr="00DF7ED9">
        <w:rPr>
          <w:rFonts w:ascii="Arial" w:eastAsia="Arial" w:hAnsi="Arial" w:cs="Arial"/>
          <w:sz w:val="16"/>
          <w:szCs w:val="16"/>
        </w:rPr>
        <w:t>per security</w:t>
      </w:r>
      <w:r w:rsidRPr="00DF7ED9">
        <w:rPr>
          <w:rFonts w:ascii="Arial" w:eastAsia="Arial" w:hAnsi="Arial" w:cs="Arial"/>
          <w:sz w:val="16"/>
          <w:szCs w:val="16"/>
        </w:rPr>
        <w:t>.</w:t>
      </w:r>
    </w:p>
    <w:p w14:paraId="44DA8A2D" w14:textId="77777777" w:rsidR="00C24AAF" w:rsidRPr="00DF7ED9" w:rsidRDefault="00C24AAF" w:rsidP="00C24AAF">
      <w:pPr>
        <w:spacing w:after="160"/>
        <w:ind w:right="58"/>
        <w:rPr>
          <w:rFonts w:ascii="Arial" w:hAnsi="Arial"/>
          <w:w w:val="0"/>
          <w:sz w:val="16"/>
        </w:rPr>
      </w:pPr>
      <w:r w:rsidRPr="00DF7ED9">
        <w:rPr>
          <w:rFonts w:ascii="Arial" w:hAnsi="Arial"/>
          <w:w w:val="0"/>
          <w:sz w:val="16"/>
        </w:rPr>
        <w:t>If the securities are redeemed prior to maturity, you will receive no more contingent quarterly coupon payments, may be forced to invest in a lower interest rate environment and my not be able to reinvest at comparable terms or returns.</w:t>
      </w:r>
    </w:p>
    <w:p w14:paraId="34EE0383" w14:textId="45297100" w:rsidR="002C6D14" w:rsidRPr="00DF7ED9" w:rsidRDefault="00C24AAF" w:rsidP="00EC77FC">
      <w:pPr>
        <w:spacing w:after="160"/>
        <w:ind w:right="58"/>
        <w:rPr>
          <w:sz w:val="16"/>
          <w:szCs w:val="16"/>
        </w:rPr>
      </w:pPr>
      <w:r w:rsidRPr="00DF7ED9">
        <w:rPr>
          <w:rFonts w:ascii="Arial" w:eastAsia="Arial" w:hAnsi="Arial" w:cs="Arial"/>
          <w:b/>
          <w:bCs/>
          <w:sz w:val="16"/>
          <w:szCs w:val="16"/>
        </w:rPr>
        <w:t>Example 2</w:t>
      </w:r>
      <w:r w:rsidRPr="00DF7ED9">
        <w:rPr>
          <w:rFonts w:ascii="Arial" w:eastAsia="Arial" w:hAnsi="Arial" w:cs="Arial"/>
          <w:sz w:val="16"/>
          <w:szCs w:val="16"/>
        </w:rPr>
        <w:t xml:space="preserve">-The securities are not redeemed prior to maturity. The </w:t>
      </w:r>
      <w:r w:rsidR="004B51F0" w:rsidRPr="00DF7ED9">
        <w:rPr>
          <w:rFonts w:ascii="Arial" w:eastAsia="Arial" w:hAnsi="Arial" w:cs="Arial"/>
          <w:sz w:val="16"/>
          <w:szCs w:val="16"/>
        </w:rPr>
        <w:t>index closing value</w:t>
      </w:r>
      <w:r w:rsidRPr="00DF7ED9">
        <w:rPr>
          <w:rFonts w:ascii="Arial" w:eastAsia="Arial" w:hAnsi="Arial" w:cs="Arial"/>
          <w:sz w:val="16"/>
          <w:szCs w:val="16"/>
        </w:rPr>
        <w:t xml:space="preserve"> is at or above the coupon barrier level on all </w:t>
      </w:r>
      <w:r w:rsidR="002E3DAC" w:rsidRPr="00DF7ED9">
        <w:rPr>
          <w:rFonts w:ascii="Arial" w:eastAsia="Arial" w:hAnsi="Arial" w:cs="Arial"/>
          <w:sz w:val="16"/>
          <w:szCs w:val="16"/>
        </w:rPr>
        <w:t>7</w:t>
      </w:r>
      <w:r w:rsidRPr="00DF7ED9">
        <w:rPr>
          <w:rFonts w:ascii="Arial" w:eastAsia="Arial" w:hAnsi="Arial" w:cs="Arial"/>
          <w:sz w:val="16"/>
          <w:szCs w:val="16"/>
        </w:rPr>
        <w:t xml:space="preserve"> quarterly observation dates prior to (and excluding) the final observation date.  </w:t>
      </w:r>
      <w:r w:rsidRPr="00DF7ED9">
        <w:rPr>
          <w:rFonts w:ascii="Arial" w:hAnsi="Arial"/>
          <w:w w:val="0"/>
          <w:sz w:val="16"/>
        </w:rPr>
        <w:t xml:space="preserve">The final index value is </w:t>
      </w:r>
      <w:r w:rsidR="00453E72">
        <w:rPr>
          <w:rFonts w:ascii="Arial" w:hAnsi="Arial"/>
          <w:w w:val="0"/>
          <w:sz w:val="16"/>
        </w:rPr>
        <w:t>90</w:t>
      </w:r>
      <w:r w:rsidRPr="00DF7ED9">
        <w:rPr>
          <w:rFonts w:ascii="Arial" w:hAnsi="Arial"/>
          <w:w w:val="0"/>
          <w:sz w:val="16"/>
        </w:rPr>
        <w:t xml:space="preserve">, which is above the downside threshold level and coupon barrier level. In this scenario, you receive a payment at maturity equal to the stated principal amount and the contingent quarterly coupon with respect to the final observation date. </w:t>
      </w:r>
      <w:r w:rsidRPr="00DF7ED9">
        <w:rPr>
          <w:rFonts w:ascii="Arial" w:eastAsia="Arial" w:hAnsi="Arial" w:cs="Arial"/>
          <w:sz w:val="16"/>
          <w:szCs w:val="16"/>
        </w:rPr>
        <w:t>Therefore, you would receive</w:t>
      </w:r>
      <w:r w:rsidR="00596108" w:rsidRPr="00DF7ED9">
        <w:rPr>
          <w:rFonts w:ascii="Arial" w:eastAsia="Arial" w:hAnsi="Arial" w:cs="Arial"/>
          <w:sz w:val="16"/>
          <w:szCs w:val="16"/>
        </w:rPr>
        <w:t xml:space="preserve"> per security</w:t>
      </w:r>
      <w:r w:rsidRPr="00DF7ED9">
        <w:rPr>
          <w:rFonts w:ascii="Arial" w:eastAsia="Arial" w:hAnsi="Arial" w:cs="Arial"/>
          <w:sz w:val="16"/>
          <w:szCs w:val="16"/>
        </w:rPr>
        <w:t xml:space="preserve"> (i) the contingent quarterly coupons with respect to the </w:t>
      </w:r>
      <w:r w:rsidR="002E3DAC" w:rsidRPr="00DF7ED9">
        <w:rPr>
          <w:rFonts w:ascii="Arial" w:eastAsia="Arial" w:hAnsi="Arial" w:cs="Arial"/>
          <w:sz w:val="16"/>
          <w:szCs w:val="16"/>
        </w:rPr>
        <w:t>7</w:t>
      </w:r>
      <w:r w:rsidRPr="00DF7ED9">
        <w:rPr>
          <w:rFonts w:ascii="Arial" w:eastAsia="Arial" w:hAnsi="Arial" w:cs="Arial"/>
          <w:sz w:val="16"/>
          <w:szCs w:val="16"/>
        </w:rPr>
        <w:t xml:space="preserve"> observation dates prior to (and excluding) the final observation date, totaling </w:t>
      </w:r>
      <w:r w:rsidR="00A80421">
        <w:rPr>
          <w:rFonts w:ascii="Arial" w:eastAsia="Arial" w:hAnsi="Arial" w:cs="Arial"/>
          <w:sz w:val="16"/>
          <w:szCs w:val="16"/>
        </w:rPr>
        <w:t>$21.375</w:t>
      </w:r>
      <w:r w:rsidR="00B95586" w:rsidRPr="00DF7ED9">
        <w:rPr>
          <w:rFonts w:ascii="Arial" w:eastAsia="Arial" w:hAnsi="Arial" w:cs="Arial"/>
          <w:sz w:val="16"/>
          <w:szCs w:val="16"/>
        </w:rPr>
        <w:t xml:space="preserve"> </w:t>
      </w:r>
      <w:r w:rsidRPr="00DF7ED9">
        <w:rPr>
          <w:rFonts w:ascii="Arial" w:eastAsia="Arial" w:hAnsi="Arial" w:cs="Arial"/>
          <w:sz w:val="16"/>
          <w:szCs w:val="16"/>
        </w:rPr>
        <w:t xml:space="preserve">× </w:t>
      </w:r>
      <w:r w:rsidR="002E3DAC" w:rsidRPr="00DF7ED9">
        <w:rPr>
          <w:rFonts w:ascii="Arial" w:eastAsia="Arial" w:hAnsi="Arial" w:cs="Arial"/>
          <w:sz w:val="16"/>
          <w:szCs w:val="16"/>
        </w:rPr>
        <w:t>7</w:t>
      </w:r>
      <w:r w:rsidRPr="00DF7ED9">
        <w:rPr>
          <w:rFonts w:ascii="Arial" w:eastAsia="Arial" w:hAnsi="Arial" w:cs="Arial"/>
          <w:sz w:val="16"/>
          <w:szCs w:val="16"/>
        </w:rPr>
        <w:t xml:space="preserve"> = $</w:t>
      </w:r>
      <w:r w:rsidR="00DA5794" w:rsidRPr="00DA5794">
        <w:rPr>
          <w:rFonts w:ascii="Arial" w:eastAsia="Arial" w:hAnsi="Arial" w:cs="Arial"/>
          <w:sz w:val="16"/>
          <w:szCs w:val="16"/>
        </w:rPr>
        <w:t>14</w:t>
      </w:r>
      <w:r w:rsidR="00CB466B">
        <w:rPr>
          <w:rFonts w:ascii="Arial" w:eastAsia="Arial" w:hAnsi="Arial" w:cs="Arial"/>
          <w:sz w:val="16"/>
          <w:szCs w:val="16"/>
        </w:rPr>
        <w:t>9.625</w:t>
      </w:r>
      <w:r w:rsidR="00DA5794">
        <w:rPr>
          <w:rFonts w:ascii="Arial" w:eastAsia="Arial" w:hAnsi="Arial" w:cs="Arial"/>
          <w:sz w:val="16"/>
          <w:szCs w:val="16"/>
        </w:rPr>
        <w:t xml:space="preserve"> </w:t>
      </w:r>
      <w:r w:rsidRPr="00DF7ED9">
        <w:rPr>
          <w:rFonts w:ascii="Arial" w:eastAsia="Arial" w:hAnsi="Arial" w:cs="Arial"/>
          <w:sz w:val="16"/>
          <w:szCs w:val="16"/>
        </w:rPr>
        <w:t xml:space="preserve">and (ii) the payment at maturity calculated as $1,000 + </w:t>
      </w:r>
      <w:r w:rsidR="00A80421">
        <w:rPr>
          <w:rFonts w:ascii="Arial" w:eastAsia="Arial" w:hAnsi="Arial" w:cs="Arial"/>
          <w:sz w:val="16"/>
          <w:szCs w:val="16"/>
        </w:rPr>
        <w:t>$21.375</w:t>
      </w:r>
      <w:r w:rsidR="00B95586" w:rsidRPr="00DF7ED9">
        <w:rPr>
          <w:rFonts w:ascii="Arial" w:eastAsia="Arial" w:hAnsi="Arial" w:cs="Arial"/>
          <w:sz w:val="16"/>
          <w:szCs w:val="16"/>
        </w:rPr>
        <w:t xml:space="preserve"> </w:t>
      </w:r>
      <w:r w:rsidRPr="00DF7ED9">
        <w:rPr>
          <w:rFonts w:ascii="Arial" w:eastAsia="Arial" w:hAnsi="Arial" w:cs="Arial"/>
          <w:sz w:val="16"/>
          <w:szCs w:val="16"/>
        </w:rPr>
        <w:t>= $</w:t>
      </w:r>
      <w:r w:rsidR="00D56F33" w:rsidRPr="00DF7ED9">
        <w:rPr>
          <w:rFonts w:ascii="Arial" w:eastAsia="Arial" w:hAnsi="Arial" w:cs="Arial"/>
          <w:sz w:val="16"/>
          <w:szCs w:val="16"/>
        </w:rPr>
        <w:t>1,0</w:t>
      </w:r>
      <w:r w:rsidR="00842F04">
        <w:rPr>
          <w:rFonts w:ascii="Arial" w:eastAsia="Arial" w:hAnsi="Arial" w:cs="Arial"/>
          <w:sz w:val="16"/>
          <w:szCs w:val="16"/>
        </w:rPr>
        <w:t>2</w:t>
      </w:r>
      <w:r w:rsidR="00CB466B">
        <w:rPr>
          <w:rFonts w:ascii="Arial" w:eastAsia="Arial" w:hAnsi="Arial" w:cs="Arial"/>
          <w:sz w:val="16"/>
          <w:szCs w:val="16"/>
        </w:rPr>
        <w:t>1.375</w:t>
      </w:r>
      <w:r w:rsidRPr="00DF7ED9">
        <w:rPr>
          <w:rFonts w:ascii="Arial" w:eastAsia="Arial" w:hAnsi="Arial" w:cs="Arial"/>
          <w:sz w:val="16"/>
          <w:szCs w:val="16"/>
        </w:rPr>
        <w:t>.</w:t>
      </w:r>
    </w:p>
    <w:p w14:paraId="2A098565" w14:textId="4FF00D27" w:rsidR="002C6D14" w:rsidRPr="00DF7ED9" w:rsidRDefault="00C24AAF" w:rsidP="00EC77FC">
      <w:pPr>
        <w:spacing w:after="160"/>
        <w:ind w:right="58"/>
        <w:rPr>
          <w:sz w:val="16"/>
          <w:szCs w:val="16"/>
        </w:rPr>
      </w:pPr>
      <w:r w:rsidRPr="00DF7ED9">
        <w:rPr>
          <w:rFonts w:ascii="Arial" w:eastAsia="Arial" w:hAnsi="Arial" w:cs="Arial"/>
          <w:sz w:val="16"/>
          <w:szCs w:val="16"/>
        </w:rPr>
        <w:t>The total payment over the 2-year term of the securities is $</w:t>
      </w:r>
      <w:r w:rsidR="00DA5794" w:rsidRPr="00DA5794">
        <w:rPr>
          <w:rFonts w:ascii="Arial" w:eastAsia="Arial" w:hAnsi="Arial" w:cs="Arial"/>
          <w:sz w:val="16"/>
          <w:szCs w:val="16"/>
        </w:rPr>
        <w:t>14</w:t>
      </w:r>
      <w:r w:rsidR="00CB466B">
        <w:rPr>
          <w:rFonts w:ascii="Arial" w:eastAsia="Arial" w:hAnsi="Arial" w:cs="Arial"/>
          <w:sz w:val="16"/>
          <w:szCs w:val="16"/>
        </w:rPr>
        <w:t>9.625</w:t>
      </w:r>
      <w:r w:rsidR="00DA5794">
        <w:rPr>
          <w:rFonts w:ascii="Arial" w:eastAsia="Arial" w:hAnsi="Arial" w:cs="Arial"/>
          <w:sz w:val="16"/>
          <w:szCs w:val="16"/>
        </w:rPr>
        <w:t xml:space="preserve"> </w:t>
      </w:r>
      <w:r w:rsidRPr="00DF7ED9">
        <w:rPr>
          <w:rFonts w:ascii="Arial" w:eastAsia="Arial" w:hAnsi="Arial" w:cs="Arial"/>
          <w:sz w:val="16"/>
          <w:szCs w:val="16"/>
        </w:rPr>
        <w:t>+ $</w:t>
      </w:r>
      <w:r w:rsidR="00D56F33" w:rsidRPr="00DF7ED9">
        <w:rPr>
          <w:rFonts w:ascii="Arial" w:eastAsia="Arial" w:hAnsi="Arial" w:cs="Arial"/>
          <w:sz w:val="16"/>
          <w:szCs w:val="16"/>
        </w:rPr>
        <w:t>1,0</w:t>
      </w:r>
      <w:r w:rsidR="00CB466B">
        <w:rPr>
          <w:rFonts w:ascii="Arial" w:eastAsia="Arial" w:hAnsi="Arial" w:cs="Arial"/>
          <w:sz w:val="16"/>
          <w:szCs w:val="16"/>
        </w:rPr>
        <w:t>21.375</w:t>
      </w:r>
      <w:r w:rsidR="00B95586" w:rsidRPr="00DF7ED9">
        <w:rPr>
          <w:rFonts w:ascii="Arial" w:eastAsia="Arial" w:hAnsi="Arial" w:cs="Arial"/>
          <w:sz w:val="16"/>
          <w:szCs w:val="16"/>
        </w:rPr>
        <w:t xml:space="preserve"> </w:t>
      </w:r>
      <w:r w:rsidRPr="00DF7ED9">
        <w:rPr>
          <w:rFonts w:ascii="Arial" w:eastAsia="Arial" w:hAnsi="Arial" w:cs="Arial"/>
          <w:sz w:val="16"/>
          <w:szCs w:val="16"/>
        </w:rPr>
        <w:t>= $</w:t>
      </w:r>
      <w:r w:rsidR="00C21163" w:rsidRPr="00C21163">
        <w:rPr>
          <w:rFonts w:ascii="Arial" w:eastAsia="Arial" w:hAnsi="Arial" w:cs="Arial"/>
          <w:sz w:val="16"/>
          <w:szCs w:val="16"/>
        </w:rPr>
        <w:t>1,</w:t>
      </w:r>
      <w:r w:rsidR="00CB466B">
        <w:rPr>
          <w:rFonts w:ascii="Arial" w:eastAsia="Arial" w:hAnsi="Arial" w:cs="Arial"/>
          <w:sz w:val="16"/>
          <w:szCs w:val="16"/>
        </w:rPr>
        <w:t>171.0</w:t>
      </w:r>
      <w:r w:rsidR="0048028A">
        <w:rPr>
          <w:rFonts w:ascii="Arial" w:eastAsia="Arial" w:hAnsi="Arial" w:cs="Arial"/>
          <w:sz w:val="16"/>
          <w:szCs w:val="16"/>
        </w:rPr>
        <w:t>0</w:t>
      </w:r>
      <w:r w:rsidR="00C21163" w:rsidRPr="00C21163">
        <w:rPr>
          <w:rFonts w:ascii="Arial" w:eastAsia="Arial" w:hAnsi="Arial" w:cs="Arial"/>
          <w:sz w:val="16"/>
          <w:szCs w:val="16"/>
        </w:rPr>
        <w:t xml:space="preserve"> </w:t>
      </w:r>
      <w:r w:rsidR="00596108" w:rsidRPr="00DF7ED9">
        <w:rPr>
          <w:rFonts w:ascii="Arial" w:eastAsia="Arial" w:hAnsi="Arial" w:cs="Arial"/>
          <w:sz w:val="16"/>
          <w:szCs w:val="16"/>
        </w:rPr>
        <w:t>per security</w:t>
      </w:r>
      <w:r w:rsidRPr="00DF7ED9">
        <w:rPr>
          <w:rFonts w:ascii="Arial" w:eastAsia="Arial" w:hAnsi="Arial" w:cs="Arial"/>
          <w:sz w:val="16"/>
          <w:szCs w:val="16"/>
        </w:rPr>
        <w:t>.</w:t>
      </w:r>
    </w:p>
    <w:p w14:paraId="4A4F2E23" w14:textId="3FB51C69" w:rsidR="002C6D14" w:rsidRPr="00DF7ED9" w:rsidRDefault="00C24AAF" w:rsidP="00DC700E">
      <w:pPr>
        <w:autoSpaceDE w:val="0"/>
        <w:autoSpaceDN w:val="0"/>
        <w:adjustRightInd w:val="0"/>
        <w:rPr>
          <w:rFonts w:ascii="Arial" w:hAnsi="Arial" w:cs="Arial"/>
          <w:color w:val="FF0000"/>
          <w:sz w:val="18"/>
          <w:szCs w:val="18"/>
          <w:lang w:bidi="he-IL"/>
        </w:rPr>
      </w:pPr>
      <w:r w:rsidRPr="00DF7ED9">
        <w:rPr>
          <w:rFonts w:ascii="Arial" w:eastAsia="Arial" w:hAnsi="Arial" w:cs="Arial"/>
          <w:sz w:val="16"/>
          <w:szCs w:val="16"/>
        </w:rPr>
        <w:t xml:space="preserve">This example illustrates the scenario where you receive a contingent quarterly coupon on every coupon payment date throughout the term of the securities and receive your principal back at maturity, resulting in </w:t>
      </w:r>
      <w:r w:rsidR="00892B72" w:rsidRPr="00DF7ED9">
        <w:rPr>
          <w:rFonts w:ascii="Arial" w:eastAsia="Arial" w:hAnsi="Arial" w:cs="Arial"/>
          <w:sz w:val="16"/>
          <w:szCs w:val="16"/>
        </w:rPr>
        <w:t>$</w:t>
      </w:r>
      <w:r w:rsidR="0048028A">
        <w:rPr>
          <w:rFonts w:ascii="Arial" w:eastAsia="Arial" w:hAnsi="Arial" w:cs="Arial"/>
          <w:sz w:val="16"/>
          <w:szCs w:val="16"/>
        </w:rPr>
        <w:t>1</w:t>
      </w:r>
      <w:r w:rsidR="00CB466B">
        <w:rPr>
          <w:rFonts w:ascii="Arial" w:eastAsia="Arial" w:hAnsi="Arial" w:cs="Arial"/>
          <w:sz w:val="16"/>
          <w:szCs w:val="16"/>
        </w:rPr>
        <w:t>71</w:t>
      </w:r>
      <w:r w:rsidR="0048028A">
        <w:rPr>
          <w:rFonts w:ascii="Arial" w:eastAsia="Arial" w:hAnsi="Arial" w:cs="Arial"/>
          <w:sz w:val="16"/>
          <w:szCs w:val="16"/>
        </w:rPr>
        <w:t>.00</w:t>
      </w:r>
      <w:r w:rsidR="00C03CDF" w:rsidRPr="00DF7ED9">
        <w:rPr>
          <w:rFonts w:ascii="Arial" w:eastAsia="Arial" w:hAnsi="Arial" w:cs="Arial"/>
          <w:sz w:val="16"/>
          <w:szCs w:val="16"/>
        </w:rPr>
        <w:t xml:space="preserve"> </w:t>
      </w:r>
      <w:r w:rsidR="00892B72" w:rsidRPr="00DF7ED9">
        <w:rPr>
          <w:rFonts w:ascii="Arial" w:eastAsia="Arial" w:hAnsi="Arial" w:cs="Arial"/>
          <w:sz w:val="16"/>
          <w:szCs w:val="16"/>
        </w:rPr>
        <w:t>in contingent quarterly coupon payments</w:t>
      </w:r>
      <w:r w:rsidRPr="00DF7ED9">
        <w:rPr>
          <w:rFonts w:ascii="Arial" w:eastAsia="Arial" w:hAnsi="Arial" w:cs="Arial"/>
          <w:sz w:val="16"/>
          <w:szCs w:val="16"/>
        </w:rPr>
        <w:t xml:space="preserve"> over the 2-year term of the securities.  This is therefore the maximum amount payable over the 2-year term of the securities.  To the extent that coupons are not paid on every coupon payment date, </w:t>
      </w:r>
      <w:r w:rsidR="00892B72" w:rsidRPr="00DF7ED9">
        <w:rPr>
          <w:rFonts w:ascii="Arial" w:eastAsia="Arial" w:hAnsi="Arial" w:cs="Arial"/>
          <w:sz w:val="16"/>
          <w:szCs w:val="16"/>
        </w:rPr>
        <w:t>the actual contingent quarterly coupon payments you receive would be less than $</w:t>
      </w:r>
      <w:r w:rsidR="0048028A">
        <w:rPr>
          <w:rFonts w:ascii="Arial" w:eastAsia="Arial" w:hAnsi="Arial" w:cs="Arial"/>
          <w:sz w:val="16"/>
          <w:szCs w:val="16"/>
        </w:rPr>
        <w:t>1</w:t>
      </w:r>
      <w:r w:rsidR="00CB466B">
        <w:rPr>
          <w:rFonts w:ascii="Arial" w:eastAsia="Arial" w:hAnsi="Arial" w:cs="Arial"/>
          <w:sz w:val="16"/>
          <w:szCs w:val="16"/>
        </w:rPr>
        <w:t>71</w:t>
      </w:r>
      <w:r w:rsidR="0048028A">
        <w:rPr>
          <w:rFonts w:ascii="Arial" w:eastAsia="Arial" w:hAnsi="Arial" w:cs="Arial"/>
          <w:sz w:val="16"/>
          <w:szCs w:val="16"/>
        </w:rPr>
        <w:t>.00</w:t>
      </w:r>
      <w:r w:rsidR="00C03CDF" w:rsidRPr="00DF7ED9">
        <w:rPr>
          <w:rFonts w:ascii="Arial" w:eastAsia="Arial" w:hAnsi="Arial" w:cs="Arial"/>
          <w:sz w:val="16"/>
          <w:szCs w:val="16"/>
        </w:rPr>
        <w:t xml:space="preserve"> </w:t>
      </w:r>
      <w:r w:rsidRPr="00DF7ED9">
        <w:rPr>
          <w:rFonts w:ascii="Arial" w:eastAsia="Arial" w:hAnsi="Arial" w:cs="Arial"/>
          <w:sz w:val="16"/>
          <w:szCs w:val="16"/>
        </w:rPr>
        <w:t xml:space="preserve">and could be zero. </w:t>
      </w:r>
      <w:r w:rsidR="00DC700E" w:rsidRPr="00DF7ED9">
        <w:rPr>
          <w:rFonts w:ascii="Arial" w:eastAsia="Arial" w:hAnsi="Arial" w:cs="Arial"/>
          <w:b/>
          <w:bCs/>
          <w:sz w:val="16"/>
          <w:szCs w:val="16"/>
        </w:rPr>
        <w:t>In addition, we will be more likely to redeem the securities prior to maturity when the index closing value is at or above the coupon barrier level on the observation dates.</w:t>
      </w:r>
      <w:r w:rsidR="00DC700E" w:rsidRPr="00DF7ED9">
        <w:rPr>
          <w:rFonts w:ascii="Arial" w:eastAsia="Arial" w:hAnsi="Arial" w:cs="Arial"/>
          <w:sz w:val="16"/>
          <w:szCs w:val="16"/>
        </w:rPr>
        <w:t xml:space="preserve"> If the securities are redeemed prior to maturity, you will receive no more contingent quarterly coupon payments, may be forced to invest in a lower interest rate environment and may not be able to reinvest at comparable terms or returns.</w:t>
      </w:r>
    </w:p>
    <w:p w14:paraId="5AA9C244" w14:textId="77777777" w:rsidR="00DC700E" w:rsidRPr="00DF7ED9" w:rsidRDefault="00DC700E" w:rsidP="00DC700E">
      <w:pPr>
        <w:autoSpaceDE w:val="0"/>
        <w:autoSpaceDN w:val="0"/>
        <w:adjustRightInd w:val="0"/>
        <w:rPr>
          <w:sz w:val="16"/>
          <w:szCs w:val="16"/>
        </w:rPr>
      </w:pPr>
    </w:p>
    <w:p w14:paraId="3D8E8478" w14:textId="7A7FB38D" w:rsidR="002C6D14" w:rsidRPr="00DF7ED9" w:rsidRDefault="00C24AAF" w:rsidP="00EC77FC">
      <w:pPr>
        <w:spacing w:after="160"/>
        <w:ind w:right="58"/>
        <w:rPr>
          <w:sz w:val="16"/>
          <w:szCs w:val="16"/>
        </w:rPr>
      </w:pPr>
      <w:r w:rsidRPr="00DF7ED9">
        <w:rPr>
          <w:rFonts w:ascii="Arial" w:eastAsia="Arial" w:hAnsi="Arial" w:cs="Arial"/>
          <w:b/>
          <w:bCs/>
          <w:sz w:val="16"/>
          <w:szCs w:val="16"/>
        </w:rPr>
        <w:t>Example 3</w:t>
      </w:r>
      <w:r w:rsidRPr="00DF7ED9">
        <w:rPr>
          <w:rFonts w:ascii="Arial" w:eastAsia="Arial" w:hAnsi="Arial" w:cs="Arial"/>
          <w:sz w:val="16"/>
          <w:szCs w:val="16"/>
        </w:rPr>
        <w:t xml:space="preserve">-The securities are not redeemed prior to maturity.  The </w:t>
      </w:r>
      <w:r w:rsidR="004B51F0" w:rsidRPr="00DF7ED9">
        <w:rPr>
          <w:rFonts w:ascii="Arial" w:eastAsia="Arial" w:hAnsi="Arial" w:cs="Arial"/>
          <w:sz w:val="16"/>
          <w:szCs w:val="16"/>
        </w:rPr>
        <w:t>index closing value</w:t>
      </w:r>
      <w:r w:rsidRPr="00DF7ED9">
        <w:rPr>
          <w:rFonts w:ascii="Arial" w:eastAsia="Arial" w:hAnsi="Arial" w:cs="Arial"/>
          <w:sz w:val="16"/>
          <w:szCs w:val="16"/>
        </w:rPr>
        <w:t xml:space="preserve"> is at or above the coupon barrier level on 2 out of the </w:t>
      </w:r>
      <w:r w:rsidR="00417ECE" w:rsidRPr="00DF7ED9">
        <w:rPr>
          <w:rFonts w:ascii="Arial" w:eastAsia="Arial" w:hAnsi="Arial" w:cs="Arial"/>
          <w:sz w:val="16"/>
          <w:szCs w:val="16"/>
        </w:rPr>
        <w:t>7</w:t>
      </w:r>
      <w:r w:rsidRPr="00DF7ED9">
        <w:rPr>
          <w:rFonts w:ascii="Arial" w:eastAsia="Arial" w:hAnsi="Arial" w:cs="Arial"/>
          <w:sz w:val="16"/>
          <w:szCs w:val="16"/>
        </w:rPr>
        <w:t xml:space="preserve"> quarterly observation dates prior to (and excluding) the final observation date.  The </w:t>
      </w:r>
      <w:r w:rsidR="00B07BDF" w:rsidRPr="00DF7ED9">
        <w:rPr>
          <w:rFonts w:ascii="Arial" w:eastAsia="Arial" w:hAnsi="Arial" w:cs="Arial"/>
          <w:sz w:val="16"/>
          <w:szCs w:val="16"/>
        </w:rPr>
        <w:t>final index value</w:t>
      </w:r>
      <w:r w:rsidRPr="00DF7ED9">
        <w:rPr>
          <w:rFonts w:ascii="Arial" w:eastAsia="Arial" w:hAnsi="Arial" w:cs="Arial"/>
          <w:sz w:val="16"/>
          <w:szCs w:val="16"/>
        </w:rPr>
        <w:t xml:space="preserve"> is </w:t>
      </w:r>
      <w:r w:rsidR="00453E72">
        <w:rPr>
          <w:rFonts w:ascii="Arial" w:eastAsia="Arial" w:hAnsi="Arial" w:cs="Arial"/>
          <w:sz w:val="16"/>
          <w:szCs w:val="16"/>
        </w:rPr>
        <w:t>95</w:t>
      </w:r>
      <w:r w:rsidRPr="00DF7ED9">
        <w:rPr>
          <w:rFonts w:ascii="Arial" w:eastAsia="Arial" w:hAnsi="Arial" w:cs="Arial"/>
          <w:sz w:val="16"/>
          <w:szCs w:val="16"/>
        </w:rPr>
        <w:t xml:space="preserve">, which is above the downside threshold level and coupon barrier level.  In this scenario, you receive a payment at maturity equal to the stated principal amount and the contingent quarterly coupon with respect to the final observation date.  Therefore, you would receive </w:t>
      </w:r>
      <w:r w:rsidR="00596108" w:rsidRPr="00DF7ED9">
        <w:rPr>
          <w:rFonts w:ascii="Arial" w:eastAsia="Arial" w:hAnsi="Arial" w:cs="Arial"/>
          <w:sz w:val="16"/>
          <w:szCs w:val="16"/>
        </w:rPr>
        <w:t xml:space="preserve">per security </w:t>
      </w:r>
      <w:r w:rsidRPr="00DF7ED9">
        <w:rPr>
          <w:rFonts w:ascii="Arial" w:eastAsia="Arial" w:hAnsi="Arial" w:cs="Arial"/>
          <w:sz w:val="16"/>
          <w:szCs w:val="16"/>
        </w:rPr>
        <w:t xml:space="preserve">(i) the contingent quarterly coupons with respect to those 2 observation dates prior to (and excluding) the final observation date, totaling </w:t>
      </w:r>
      <w:r w:rsidR="00A80421">
        <w:rPr>
          <w:rFonts w:ascii="Arial" w:eastAsia="Arial" w:hAnsi="Arial" w:cs="Arial"/>
          <w:sz w:val="16"/>
          <w:szCs w:val="16"/>
        </w:rPr>
        <w:t>$21.375</w:t>
      </w:r>
      <w:r w:rsidR="008F2694" w:rsidRPr="00DF7ED9">
        <w:rPr>
          <w:rFonts w:ascii="Arial" w:eastAsia="Arial" w:hAnsi="Arial" w:cs="Arial"/>
          <w:sz w:val="16"/>
          <w:szCs w:val="16"/>
        </w:rPr>
        <w:t xml:space="preserve"> </w:t>
      </w:r>
      <w:r w:rsidRPr="00DF7ED9">
        <w:rPr>
          <w:rFonts w:ascii="Arial" w:eastAsia="Arial" w:hAnsi="Arial" w:cs="Arial"/>
          <w:sz w:val="16"/>
          <w:szCs w:val="16"/>
        </w:rPr>
        <w:t xml:space="preserve">× 2 = </w:t>
      </w:r>
      <w:r w:rsidR="008D7DEF" w:rsidRPr="00DF7ED9">
        <w:rPr>
          <w:rFonts w:ascii="Arial" w:eastAsia="Arial" w:hAnsi="Arial" w:cs="Arial"/>
          <w:sz w:val="16"/>
          <w:szCs w:val="16"/>
        </w:rPr>
        <w:t>$</w:t>
      </w:r>
      <w:r w:rsidR="0048028A">
        <w:rPr>
          <w:rFonts w:ascii="Arial" w:eastAsia="Arial" w:hAnsi="Arial" w:cs="Arial"/>
          <w:sz w:val="16"/>
          <w:szCs w:val="16"/>
        </w:rPr>
        <w:t>4</w:t>
      </w:r>
      <w:r w:rsidR="00CB466B">
        <w:rPr>
          <w:rFonts w:ascii="Arial" w:eastAsia="Arial" w:hAnsi="Arial" w:cs="Arial"/>
          <w:sz w:val="16"/>
          <w:szCs w:val="16"/>
        </w:rPr>
        <w:t>2.75</w:t>
      </w:r>
      <w:r w:rsidRPr="00DF7ED9">
        <w:rPr>
          <w:rFonts w:ascii="Arial" w:eastAsia="Arial" w:hAnsi="Arial" w:cs="Arial"/>
          <w:sz w:val="16"/>
          <w:szCs w:val="16"/>
        </w:rPr>
        <w:t xml:space="preserve">, but not for the other </w:t>
      </w:r>
      <w:r w:rsidR="00417ECE" w:rsidRPr="00DF7ED9">
        <w:rPr>
          <w:rFonts w:ascii="Arial" w:eastAsia="Arial" w:hAnsi="Arial" w:cs="Arial"/>
          <w:sz w:val="16"/>
          <w:szCs w:val="16"/>
        </w:rPr>
        <w:t>5</w:t>
      </w:r>
      <w:r w:rsidRPr="00DF7ED9">
        <w:rPr>
          <w:rFonts w:ascii="Arial" w:eastAsia="Arial" w:hAnsi="Arial" w:cs="Arial"/>
          <w:sz w:val="16"/>
          <w:szCs w:val="16"/>
        </w:rPr>
        <w:t xml:space="preserve"> observation dates, and (ii) the payment at maturity calculated as $1,000 + </w:t>
      </w:r>
      <w:r w:rsidR="00A80421">
        <w:rPr>
          <w:rFonts w:ascii="Arial" w:eastAsia="Arial" w:hAnsi="Arial" w:cs="Arial"/>
          <w:sz w:val="16"/>
          <w:szCs w:val="16"/>
        </w:rPr>
        <w:t>$21.375</w:t>
      </w:r>
      <w:r w:rsidR="008F2694" w:rsidRPr="00DF7ED9">
        <w:rPr>
          <w:rFonts w:ascii="Arial" w:eastAsia="Arial" w:hAnsi="Arial" w:cs="Arial"/>
          <w:sz w:val="16"/>
          <w:szCs w:val="16"/>
        </w:rPr>
        <w:t xml:space="preserve"> </w:t>
      </w:r>
      <w:r w:rsidRPr="00DF7ED9">
        <w:rPr>
          <w:rFonts w:ascii="Arial" w:eastAsia="Arial" w:hAnsi="Arial" w:cs="Arial"/>
          <w:sz w:val="16"/>
          <w:szCs w:val="16"/>
        </w:rPr>
        <w:t xml:space="preserve">= </w:t>
      </w:r>
      <w:r w:rsidR="00E958EA">
        <w:rPr>
          <w:rFonts w:ascii="Arial" w:eastAsia="Arial" w:hAnsi="Arial" w:cs="Arial"/>
          <w:sz w:val="16"/>
          <w:szCs w:val="16"/>
        </w:rPr>
        <w:t>$1,021.375</w:t>
      </w:r>
      <w:r w:rsidRPr="00DF7ED9">
        <w:rPr>
          <w:rFonts w:ascii="Arial" w:eastAsia="Arial" w:hAnsi="Arial" w:cs="Arial"/>
          <w:sz w:val="16"/>
          <w:szCs w:val="16"/>
        </w:rPr>
        <w:t>.</w:t>
      </w:r>
    </w:p>
    <w:p w14:paraId="1F7CBA4D" w14:textId="31F5DC63" w:rsidR="002C6D14" w:rsidRPr="00DF7ED9" w:rsidRDefault="00C24AAF" w:rsidP="00EC77FC">
      <w:pPr>
        <w:spacing w:after="160"/>
        <w:ind w:right="58"/>
        <w:rPr>
          <w:sz w:val="16"/>
          <w:szCs w:val="16"/>
        </w:rPr>
      </w:pPr>
      <w:r w:rsidRPr="00DF7ED9">
        <w:rPr>
          <w:rFonts w:ascii="Arial" w:eastAsia="Arial" w:hAnsi="Arial" w:cs="Arial"/>
          <w:sz w:val="16"/>
          <w:szCs w:val="16"/>
        </w:rPr>
        <w:t xml:space="preserve">The total payment over the 2-year term of the securities is </w:t>
      </w:r>
      <w:r w:rsidR="008D7DEF" w:rsidRPr="00DF7ED9">
        <w:rPr>
          <w:rFonts w:ascii="Arial" w:eastAsia="Arial" w:hAnsi="Arial" w:cs="Arial"/>
          <w:sz w:val="16"/>
          <w:szCs w:val="16"/>
        </w:rPr>
        <w:t>$</w:t>
      </w:r>
      <w:r w:rsidR="00E958EA">
        <w:rPr>
          <w:rFonts w:ascii="Arial" w:eastAsia="Arial" w:hAnsi="Arial" w:cs="Arial"/>
          <w:sz w:val="16"/>
          <w:szCs w:val="16"/>
        </w:rPr>
        <w:t>42.75</w:t>
      </w:r>
      <w:r w:rsidR="00453E72">
        <w:rPr>
          <w:rFonts w:ascii="Arial" w:eastAsia="Arial" w:hAnsi="Arial" w:cs="Arial"/>
          <w:sz w:val="16"/>
          <w:szCs w:val="16"/>
        </w:rPr>
        <w:t xml:space="preserve"> </w:t>
      </w:r>
      <w:r w:rsidRPr="00DF7ED9">
        <w:rPr>
          <w:rFonts w:ascii="Arial" w:eastAsia="Arial" w:hAnsi="Arial" w:cs="Arial"/>
          <w:sz w:val="16"/>
          <w:szCs w:val="16"/>
        </w:rPr>
        <w:t xml:space="preserve">+ </w:t>
      </w:r>
      <w:r w:rsidR="00E958EA">
        <w:rPr>
          <w:rFonts w:ascii="Arial" w:eastAsia="Arial" w:hAnsi="Arial" w:cs="Arial"/>
          <w:sz w:val="16"/>
          <w:szCs w:val="16"/>
        </w:rPr>
        <w:t>$1,021.375</w:t>
      </w:r>
      <w:r w:rsidR="008F2694" w:rsidRPr="00DF7ED9">
        <w:rPr>
          <w:rFonts w:ascii="Arial" w:eastAsia="Arial" w:hAnsi="Arial" w:cs="Arial"/>
          <w:sz w:val="16"/>
          <w:szCs w:val="16"/>
        </w:rPr>
        <w:t xml:space="preserve"> </w:t>
      </w:r>
      <w:r w:rsidRPr="00DF7ED9">
        <w:rPr>
          <w:rFonts w:ascii="Arial" w:eastAsia="Arial" w:hAnsi="Arial" w:cs="Arial"/>
          <w:sz w:val="16"/>
          <w:szCs w:val="16"/>
        </w:rPr>
        <w:t>= $</w:t>
      </w:r>
      <w:r w:rsidR="00453E72" w:rsidRPr="00453E72">
        <w:rPr>
          <w:rFonts w:ascii="Arial" w:eastAsia="Arial" w:hAnsi="Arial" w:cs="Arial"/>
          <w:sz w:val="16"/>
          <w:szCs w:val="16"/>
        </w:rPr>
        <w:t>1,0</w:t>
      </w:r>
      <w:r w:rsidR="00826F73">
        <w:rPr>
          <w:rFonts w:ascii="Arial" w:eastAsia="Arial" w:hAnsi="Arial" w:cs="Arial"/>
          <w:sz w:val="16"/>
          <w:szCs w:val="16"/>
        </w:rPr>
        <w:t>6</w:t>
      </w:r>
      <w:r w:rsidR="00E958EA">
        <w:rPr>
          <w:rFonts w:ascii="Arial" w:eastAsia="Arial" w:hAnsi="Arial" w:cs="Arial"/>
          <w:sz w:val="16"/>
          <w:szCs w:val="16"/>
        </w:rPr>
        <w:t>4.125</w:t>
      </w:r>
      <w:r w:rsidR="00453E72" w:rsidRPr="00453E72">
        <w:rPr>
          <w:rFonts w:ascii="Arial" w:eastAsia="Arial" w:hAnsi="Arial" w:cs="Arial"/>
          <w:sz w:val="16"/>
          <w:szCs w:val="16"/>
        </w:rPr>
        <w:t xml:space="preserve"> </w:t>
      </w:r>
      <w:r w:rsidR="00596108" w:rsidRPr="00DF7ED9">
        <w:rPr>
          <w:rFonts w:ascii="Arial" w:eastAsia="Arial" w:hAnsi="Arial" w:cs="Arial"/>
          <w:sz w:val="16"/>
          <w:szCs w:val="16"/>
        </w:rPr>
        <w:t>per security</w:t>
      </w:r>
      <w:r w:rsidRPr="00DF7ED9">
        <w:rPr>
          <w:rFonts w:ascii="Arial" w:eastAsia="Arial" w:hAnsi="Arial" w:cs="Arial"/>
          <w:sz w:val="16"/>
          <w:szCs w:val="16"/>
        </w:rPr>
        <w:t>.</w:t>
      </w:r>
    </w:p>
    <w:p w14:paraId="0F03D320" w14:textId="0210B375" w:rsidR="002C6D14" w:rsidRPr="00DF7ED9" w:rsidRDefault="00C24AAF" w:rsidP="00EC77FC">
      <w:pPr>
        <w:spacing w:after="160"/>
        <w:ind w:right="58"/>
        <w:rPr>
          <w:sz w:val="16"/>
          <w:szCs w:val="16"/>
        </w:rPr>
      </w:pPr>
      <w:r w:rsidRPr="00DF7ED9">
        <w:rPr>
          <w:rFonts w:ascii="Arial" w:eastAsia="Arial" w:hAnsi="Arial" w:cs="Arial"/>
          <w:b/>
          <w:bCs/>
          <w:sz w:val="16"/>
          <w:szCs w:val="16"/>
        </w:rPr>
        <w:lastRenderedPageBreak/>
        <w:t>Example 4</w:t>
      </w:r>
      <w:r w:rsidRPr="00DF7ED9">
        <w:rPr>
          <w:rFonts w:ascii="Arial" w:eastAsia="Arial" w:hAnsi="Arial" w:cs="Arial"/>
          <w:sz w:val="16"/>
          <w:szCs w:val="16"/>
        </w:rPr>
        <w:t xml:space="preserve">-The securities are not redeemed prior to maturity.  The </w:t>
      </w:r>
      <w:r w:rsidR="004B51F0" w:rsidRPr="00DF7ED9">
        <w:rPr>
          <w:rFonts w:ascii="Arial" w:eastAsia="Arial" w:hAnsi="Arial" w:cs="Arial"/>
          <w:sz w:val="16"/>
          <w:szCs w:val="16"/>
        </w:rPr>
        <w:t>index closing value</w:t>
      </w:r>
      <w:r w:rsidRPr="00DF7ED9">
        <w:rPr>
          <w:rFonts w:ascii="Arial" w:eastAsia="Arial" w:hAnsi="Arial" w:cs="Arial"/>
          <w:sz w:val="16"/>
          <w:szCs w:val="16"/>
        </w:rPr>
        <w:t xml:space="preserve"> is below the coupon barrier level on all of the quarterly observation dates, and is below the downside threshold level on the final observation date, on which the </w:t>
      </w:r>
      <w:r w:rsidR="00B07BDF" w:rsidRPr="00DF7ED9">
        <w:rPr>
          <w:rFonts w:ascii="Arial" w:eastAsia="Arial" w:hAnsi="Arial" w:cs="Arial"/>
          <w:sz w:val="16"/>
          <w:szCs w:val="16"/>
        </w:rPr>
        <w:t>final index value</w:t>
      </w:r>
      <w:r w:rsidRPr="00DF7ED9">
        <w:rPr>
          <w:rFonts w:ascii="Arial" w:eastAsia="Arial" w:hAnsi="Arial" w:cs="Arial"/>
          <w:sz w:val="16"/>
          <w:szCs w:val="16"/>
        </w:rPr>
        <w:t xml:space="preserve"> is </w:t>
      </w:r>
      <w:r w:rsidR="00453E72">
        <w:rPr>
          <w:rFonts w:ascii="Arial" w:eastAsia="Arial" w:hAnsi="Arial" w:cs="Arial"/>
          <w:sz w:val="16"/>
          <w:szCs w:val="16"/>
        </w:rPr>
        <w:t>40</w:t>
      </w:r>
      <w:r w:rsidRPr="00DF7ED9">
        <w:rPr>
          <w:rFonts w:ascii="Arial" w:eastAsia="Arial" w:hAnsi="Arial" w:cs="Arial"/>
          <w:sz w:val="16"/>
          <w:szCs w:val="16"/>
        </w:rPr>
        <w:t>.  Therefore, you would receive no contingent quarterly coupons, and the payment at maturity would be calculated as $1,000 × (</w:t>
      </w:r>
      <w:r w:rsidR="00453E72">
        <w:rPr>
          <w:rFonts w:ascii="Arial" w:eastAsia="Arial" w:hAnsi="Arial" w:cs="Arial"/>
          <w:sz w:val="16"/>
          <w:szCs w:val="16"/>
        </w:rPr>
        <w:t>40</w:t>
      </w:r>
      <w:r w:rsidRPr="00DF7ED9">
        <w:rPr>
          <w:rFonts w:ascii="Arial" w:eastAsia="Arial" w:hAnsi="Arial" w:cs="Arial"/>
          <w:sz w:val="16"/>
          <w:szCs w:val="16"/>
        </w:rPr>
        <w:t xml:space="preserve"> / </w:t>
      </w:r>
      <w:r w:rsidR="00DA7564">
        <w:rPr>
          <w:rFonts w:ascii="Arial" w:eastAsia="Arial" w:hAnsi="Arial" w:cs="Arial"/>
          <w:sz w:val="16"/>
          <w:szCs w:val="16"/>
        </w:rPr>
        <w:t>100</w:t>
      </w:r>
      <w:r w:rsidRPr="00DF7ED9">
        <w:rPr>
          <w:rFonts w:ascii="Arial" w:eastAsia="Arial" w:hAnsi="Arial" w:cs="Arial"/>
          <w:sz w:val="16"/>
          <w:szCs w:val="16"/>
        </w:rPr>
        <w:t>) = $400.00.</w:t>
      </w:r>
    </w:p>
    <w:p w14:paraId="20C71A1D" w14:textId="1BAF40BF" w:rsidR="002C6D14" w:rsidRPr="00DF7ED9" w:rsidRDefault="00C24AAF" w:rsidP="00EC77FC">
      <w:pPr>
        <w:spacing w:after="160"/>
        <w:ind w:right="58"/>
        <w:rPr>
          <w:sz w:val="16"/>
          <w:szCs w:val="16"/>
        </w:rPr>
      </w:pPr>
      <w:r w:rsidRPr="00DF7ED9">
        <w:rPr>
          <w:rFonts w:ascii="Arial" w:eastAsia="Arial" w:hAnsi="Arial" w:cs="Arial"/>
          <w:sz w:val="16"/>
          <w:szCs w:val="16"/>
        </w:rPr>
        <w:t>The total payment over the 2-year term of the securities is $0 + $400.00 = $400.00</w:t>
      </w:r>
      <w:r w:rsidR="00596108" w:rsidRPr="00DF7ED9">
        <w:rPr>
          <w:rFonts w:ascii="Arial" w:eastAsia="Arial" w:hAnsi="Arial" w:cs="Arial"/>
          <w:sz w:val="16"/>
          <w:szCs w:val="16"/>
        </w:rPr>
        <w:t xml:space="preserve"> per security</w:t>
      </w:r>
      <w:r w:rsidRPr="00DF7ED9">
        <w:rPr>
          <w:rFonts w:ascii="Arial" w:eastAsia="Arial" w:hAnsi="Arial" w:cs="Arial"/>
          <w:sz w:val="16"/>
          <w:szCs w:val="16"/>
        </w:rPr>
        <w:t>.</w:t>
      </w:r>
    </w:p>
    <w:p w14:paraId="114199D0" w14:textId="77777777" w:rsidR="002C6D14" w:rsidRPr="00DF7ED9" w:rsidRDefault="00C24AAF" w:rsidP="00EC77FC">
      <w:pPr>
        <w:spacing w:after="160"/>
        <w:ind w:right="58"/>
        <w:rPr>
          <w:sz w:val="16"/>
          <w:szCs w:val="16"/>
        </w:rPr>
      </w:pPr>
      <w:r w:rsidRPr="00DF7ED9">
        <w:rPr>
          <w:rFonts w:ascii="Arial" w:eastAsia="Arial" w:hAnsi="Arial" w:cs="Arial"/>
          <w:b/>
          <w:bCs/>
          <w:sz w:val="16"/>
          <w:szCs w:val="16"/>
        </w:rPr>
        <w:t xml:space="preserve">If we do not redeem the securities prior to maturity and the </w:t>
      </w:r>
      <w:r w:rsidR="00B07BDF" w:rsidRPr="00DF7ED9">
        <w:rPr>
          <w:rFonts w:ascii="Arial" w:eastAsia="Arial" w:hAnsi="Arial" w:cs="Arial"/>
          <w:b/>
          <w:bCs/>
          <w:sz w:val="16"/>
          <w:szCs w:val="16"/>
        </w:rPr>
        <w:t>final index value</w:t>
      </w:r>
      <w:r w:rsidRPr="00DF7ED9">
        <w:rPr>
          <w:rFonts w:ascii="Arial" w:eastAsia="Arial" w:hAnsi="Arial" w:cs="Arial"/>
          <w:b/>
          <w:bCs/>
          <w:sz w:val="16"/>
          <w:szCs w:val="16"/>
        </w:rPr>
        <w:t xml:space="preserve"> is less than the downside threshold level, you will lose a significant portion or all of your investment in the securities.</w:t>
      </w:r>
      <w:r w:rsidRPr="00DF7ED9">
        <w:rPr>
          <w:rFonts w:ascii="Arial" w:eastAsia="Arial" w:hAnsi="Arial" w:cs="Arial"/>
          <w:sz w:val="16"/>
          <w:szCs w:val="16"/>
        </w:rPr>
        <w:t> </w:t>
      </w:r>
    </w:p>
    <w:p w14:paraId="1CB67AC9" w14:textId="77777777" w:rsidR="002C6D14" w:rsidRPr="00DF7ED9" w:rsidRDefault="002C6D14">
      <w:pPr>
        <w:pBdr>
          <w:bottom w:val="single" w:sz="8" w:space="0" w:color="000000"/>
        </w:pBdr>
        <w:spacing w:before="240" w:after="240"/>
        <w:sectPr w:rsidR="002C6D14" w:rsidRPr="00DF7ED9" w:rsidSect="00371BFB">
          <w:pgSz w:w="12240" w:h="15840"/>
          <w:pgMar w:top="288" w:right="288" w:bottom="288" w:left="288" w:header="720" w:footer="720" w:gutter="0"/>
          <w:cols w:space="720"/>
        </w:sectPr>
      </w:pPr>
    </w:p>
    <w:p w14:paraId="1F9129AB" w14:textId="77777777" w:rsidR="002C6D14" w:rsidRPr="00DF7ED9" w:rsidRDefault="00C24AAF" w:rsidP="003F5E33">
      <w:pPr>
        <w:spacing w:after="160"/>
        <w:ind w:left="792" w:right="144" w:hanging="792"/>
        <w:rPr>
          <w:sz w:val="28"/>
          <w:szCs w:val="28"/>
        </w:rPr>
      </w:pPr>
      <w:r w:rsidRPr="00DF7ED9">
        <w:rPr>
          <w:rFonts w:ascii="Arial" w:eastAsia="Arial" w:hAnsi="Arial" w:cs="Arial"/>
          <w:color w:val="296DC1"/>
          <w:sz w:val="28"/>
          <w:szCs w:val="28"/>
        </w:rPr>
        <w:lastRenderedPageBreak/>
        <w:t>Risk Factors</w:t>
      </w:r>
    </w:p>
    <w:p w14:paraId="1EF844E3" w14:textId="1CF11632" w:rsidR="002C6D14" w:rsidRPr="00DF7ED9" w:rsidRDefault="00C24AAF" w:rsidP="003F5E33">
      <w:pPr>
        <w:spacing w:after="160"/>
        <w:ind w:right="144"/>
        <w:rPr>
          <w:sz w:val="16"/>
          <w:szCs w:val="16"/>
        </w:rPr>
      </w:pPr>
      <w:r w:rsidRPr="00DF7ED9">
        <w:rPr>
          <w:rFonts w:ascii="Arial" w:eastAsia="Arial" w:hAnsi="Arial" w:cs="Arial"/>
          <w:i/>
          <w:iCs/>
          <w:color w:val="000000"/>
          <w:sz w:val="16"/>
          <w:szCs w:val="16"/>
        </w:rPr>
        <w:t>Your investment in the securities entails significant risks, many of which differ from those of a conventional debt security. Your decision to purchase the securities should be made only after carefully considering the risks of an investment in the securities, including those discussed below, with your advisors in light of your particular circumstances. The securities are not an appropriate investment for you if you are not knowledgeable about significant elements of the securities or financial matters in general. You should carefully review the more detailed explanation of risks relating to the securities in the “Risk Factors” sections beginning on page PS-</w:t>
      </w:r>
      <w:r w:rsidR="00E03692">
        <w:rPr>
          <w:rFonts w:ascii="Arial" w:eastAsia="Arial" w:hAnsi="Arial" w:cs="Arial"/>
          <w:i/>
          <w:iCs/>
          <w:color w:val="000000"/>
          <w:sz w:val="16"/>
          <w:szCs w:val="16"/>
        </w:rPr>
        <w:t>3</w:t>
      </w:r>
      <w:r w:rsidRPr="00DF7ED9">
        <w:rPr>
          <w:rFonts w:ascii="Arial" w:eastAsia="Arial" w:hAnsi="Arial" w:cs="Arial"/>
          <w:i/>
          <w:iCs/>
          <w:color w:val="000000"/>
          <w:sz w:val="16"/>
          <w:szCs w:val="16"/>
        </w:rPr>
        <w:t xml:space="preserve"> of the accompanying product supplement, page S-</w:t>
      </w:r>
      <w:r w:rsidR="00E03692">
        <w:rPr>
          <w:rFonts w:ascii="Arial" w:eastAsia="Arial" w:hAnsi="Arial" w:cs="Arial"/>
          <w:i/>
          <w:iCs/>
          <w:color w:val="000000"/>
          <w:sz w:val="16"/>
          <w:szCs w:val="16"/>
        </w:rPr>
        <w:t>7</w:t>
      </w:r>
      <w:r w:rsidRPr="00DF7ED9">
        <w:rPr>
          <w:rFonts w:ascii="Arial" w:eastAsia="Arial" w:hAnsi="Arial" w:cs="Arial"/>
          <w:i/>
          <w:iCs/>
          <w:color w:val="000000"/>
          <w:sz w:val="16"/>
          <w:szCs w:val="16"/>
        </w:rPr>
        <w:t xml:space="preserve"> of the accompanying prospectus supplement and page 7 of the accompanying prospectus, each as identified on the cover page of this pricing supplement.</w:t>
      </w:r>
    </w:p>
    <w:p w14:paraId="3577820C" w14:textId="77777777" w:rsidR="00892B72" w:rsidRPr="00DF7ED9" w:rsidRDefault="00C24AAF" w:rsidP="00892B72">
      <w:pPr>
        <w:spacing w:after="220" w:line="288" w:lineRule="atLeast"/>
        <w:ind w:left="792" w:right="792" w:hanging="792"/>
        <w:rPr>
          <w:rFonts w:ascii="Arial" w:eastAsia="Arial" w:hAnsi="Arial" w:cs="Arial"/>
          <w:b/>
          <w:bCs/>
          <w:color w:val="296DC1"/>
          <w:sz w:val="16"/>
          <w:szCs w:val="16"/>
          <w:u w:val="single"/>
        </w:rPr>
      </w:pPr>
      <w:r w:rsidRPr="00DF7ED9">
        <w:rPr>
          <w:rFonts w:ascii="Arial" w:eastAsia="Arial" w:hAnsi="Arial" w:cs="Arial"/>
          <w:b/>
          <w:bCs/>
          <w:color w:val="296DC1"/>
          <w:sz w:val="16"/>
          <w:szCs w:val="16"/>
          <w:u w:val="single"/>
        </w:rPr>
        <w:t>Structure-related Risks</w:t>
      </w:r>
    </w:p>
    <w:p w14:paraId="44C4C812" w14:textId="77777777" w:rsidR="00892B72" w:rsidRPr="00DF7ED9" w:rsidRDefault="00C24AAF" w:rsidP="00892B72">
      <w:pPr>
        <w:pStyle w:val="BulletedListBlueLeftPadNoJustifyListBodyBlackListItem"/>
        <w:numPr>
          <w:ilvl w:val="0"/>
          <w:numId w:val="1"/>
        </w:numPr>
        <w:rPr>
          <w:color w:val="auto"/>
          <w:szCs w:val="16"/>
        </w:rPr>
      </w:pPr>
      <w:r w:rsidRPr="00DF7ED9">
        <w:rPr>
          <w:b/>
          <w:bCs/>
          <w:color w:val="auto"/>
          <w:szCs w:val="16"/>
        </w:rPr>
        <w:t>Your investment may result in a loss; there is no guaranteed return of principal.</w:t>
      </w:r>
      <w:r w:rsidRPr="00DF7ED9">
        <w:rPr>
          <w:color w:val="auto"/>
          <w:szCs w:val="16"/>
        </w:rPr>
        <w:t xml:space="preserve"> There is no fixed principal repayment amount on the securities at maturity. If the securities are not redeemed prior to maturity and the </w:t>
      </w:r>
      <w:r w:rsidR="00B07BDF" w:rsidRPr="00DF7ED9">
        <w:rPr>
          <w:color w:val="auto"/>
          <w:szCs w:val="16"/>
        </w:rPr>
        <w:t>final index value</w:t>
      </w:r>
      <w:r w:rsidRPr="00DF7ED9">
        <w:rPr>
          <w:color w:val="auto"/>
          <w:szCs w:val="16"/>
        </w:rPr>
        <w:t xml:space="preserve"> of the </w:t>
      </w:r>
      <w:r w:rsidR="004B51F0" w:rsidRPr="00DF7ED9">
        <w:rPr>
          <w:color w:val="auto"/>
          <w:szCs w:val="16"/>
        </w:rPr>
        <w:t>underlying index</w:t>
      </w:r>
      <w:r w:rsidRPr="00DF7ED9">
        <w:rPr>
          <w:color w:val="auto"/>
          <w:szCs w:val="16"/>
        </w:rPr>
        <w:t xml:space="preserve"> is less than the </w:t>
      </w:r>
      <w:r w:rsidR="007C3B65" w:rsidRPr="00DF7ED9">
        <w:rPr>
          <w:color w:val="auto"/>
          <w:szCs w:val="16"/>
        </w:rPr>
        <w:t>downside threshold level</w:t>
      </w:r>
      <w:r w:rsidRPr="00DF7ED9">
        <w:rPr>
          <w:color w:val="auto"/>
          <w:szCs w:val="16"/>
        </w:rPr>
        <w:t xml:space="preserve">, at maturity, your investment will be subject to 1:1 downside exposure to decreases in the value of the </w:t>
      </w:r>
      <w:r w:rsidR="004B51F0" w:rsidRPr="00DF7ED9">
        <w:rPr>
          <w:color w:val="auto"/>
          <w:szCs w:val="16"/>
        </w:rPr>
        <w:t>underlying index</w:t>
      </w:r>
      <w:r w:rsidRPr="00DF7ED9">
        <w:rPr>
          <w:color w:val="auto"/>
          <w:szCs w:val="16"/>
        </w:rPr>
        <w:t xml:space="preserve"> and you will lose 1% of the principal amount for each 1% that the </w:t>
      </w:r>
      <w:r w:rsidR="00B07BDF" w:rsidRPr="00DF7ED9">
        <w:rPr>
          <w:color w:val="auto"/>
          <w:szCs w:val="16"/>
        </w:rPr>
        <w:t>final index value</w:t>
      </w:r>
      <w:r w:rsidRPr="00DF7ED9">
        <w:rPr>
          <w:color w:val="auto"/>
          <w:szCs w:val="16"/>
        </w:rPr>
        <w:t xml:space="preserve"> of the </w:t>
      </w:r>
      <w:r w:rsidR="004B51F0" w:rsidRPr="00DF7ED9">
        <w:rPr>
          <w:color w:val="auto"/>
          <w:szCs w:val="16"/>
        </w:rPr>
        <w:t>underlying index</w:t>
      </w:r>
      <w:r w:rsidRPr="00DF7ED9">
        <w:rPr>
          <w:color w:val="auto"/>
          <w:szCs w:val="16"/>
        </w:rPr>
        <w:t xml:space="preserve"> is less than the </w:t>
      </w:r>
      <w:r w:rsidR="00B07BDF" w:rsidRPr="00DF7ED9">
        <w:rPr>
          <w:color w:val="auto"/>
          <w:szCs w:val="16"/>
        </w:rPr>
        <w:t>initial index value</w:t>
      </w:r>
      <w:r w:rsidRPr="00DF7ED9">
        <w:rPr>
          <w:color w:val="auto"/>
          <w:szCs w:val="16"/>
        </w:rPr>
        <w:t>. In that case, you will lose a significant portion or all of your investment in the securities.</w:t>
      </w:r>
    </w:p>
    <w:p w14:paraId="4C3C3FD7" w14:textId="77777777" w:rsidR="00892B72" w:rsidRPr="00DF7ED9" w:rsidRDefault="00C24AAF" w:rsidP="00892B72">
      <w:pPr>
        <w:pStyle w:val="BulletedListBlueLeftPadNoJustifyListBodyBlackListItem"/>
        <w:numPr>
          <w:ilvl w:val="0"/>
          <w:numId w:val="2"/>
        </w:numPr>
        <w:rPr>
          <w:color w:val="auto"/>
          <w:szCs w:val="16"/>
        </w:rPr>
      </w:pPr>
      <w:r w:rsidRPr="00DF7ED9">
        <w:rPr>
          <w:b/>
          <w:bCs/>
          <w:color w:val="auto"/>
          <w:szCs w:val="16"/>
        </w:rPr>
        <w:t xml:space="preserve">Your return on the securities is limited to the return represented by the </w:t>
      </w:r>
      <w:r w:rsidR="007C3B65" w:rsidRPr="00DF7ED9">
        <w:rPr>
          <w:b/>
          <w:bCs/>
          <w:color w:val="auto"/>
          <w:szCs w:val="16"/>
        </w:rPr>
        <w:t>contingent quarterly coupon</w:t>
      </w:r>
      <w:r w:rsidRPr="00DF7ED9">
        <w:rPr>
          <w:b/>
          <w:bCs/>
          <w:color w:val="auto"/>
          <w:szCs w:val="16"/>
        </w:rPr>
        <w:t>s, if any, over the term of the securities.</w:t>
      </w:r>
      <w:r w:rsidRPr="00DF7ED9">
        <w:rPr>
          <w:color w:val="auto"/>
          <w:szCs w:val="16"/>
        </w:rPr>
        <w:t xml:space="preserve"> Your return on the securities is limited to the </w:t>
      </w:r>
      <w:r w:rsidR="007C3B65" w:rsidRPr="00DF7ED9">
        <w:rPr>
          <w:color w:val="auto"/>
          <w:szCs w:val="16"/>
        </w:rPr>
        <w:t>contingent quarterly coupon</w:t>
      </w:r>
      <w:r w:rsidRPr="00DF7ED9">
        <w:rPr>
          <w:color w:val="auto"/>
          <w:szCs w:val="16"/>
        </w:rPr>
        <w:t xml:space="preserve">s paid over the term of the securities, regardless of the extent to which the </w:t>
      </w:r>
      <w:r w:rsidR="004B51F0" w:rsidRPr="00DF7ED9">
        <w:rPr>
          <w:color w:val="auto"/>
          <w:szCs w:val="16"/>
        </w:rPr>
        <w:t>index closing value</w:t>
      </w:r>
      <w:r w:rsidRPr="00DF7ED9">
        <w:rPr>
          <w:color w:val="auto"/>
          <w:szCs w:val="16"/>
        </w:rPr>
        <w:t xml:space="preserve"> or </w:t>
      </w:r>
      <w:r w:rsidR="00B07BDF" w:rsidRPr="00DF7ED9">
        <w:rPr>
          <w:color w:val="auto"/>
          <w:szCs w:val="16"/>
        </w:rPr>
        <w:t>final index value</w:t>
      </w:r>
      <w:r w:rsidRPr="00DF7ED9">
        <w:rPr>
          <w:color w:val="auto"/>
          <w:szCs w:val="16"/>
        </w:rPr>
        <w:t xml:space="preserve"> of the </w:t>
      </w:r>
      <w:r w:rsidR="004B51F0" w:rsidRPr="00DF7ED9">
        <w:rPr>
          <w:color w:val="auto"/>
          <w:szCs w:val="16"/>
        </w:rPr>
        <w:t>underlying index</w:t>
      </w:r>
      <w:r w:rsidRPr="00DF7ED9">
        <w:rPr>
          <w:color w:val="auto"/>
          <w:szCs w:val="16"/>
        </w:rPr>
        <w:t xml:space="preserve"> exceeds its </w:t>
      </w:r>
      <w:r w:rsidR="007C3B65" w:rsidRPr="00DF7ED9">
        <w:rPr>
          <w:color w:val="auto"/>
          <w:szCs w:val="16"/>
        </w:rPr>
        <w:t>coupon barrier</w:t>
      </w:r>
      <w:r w:rsidRPr="00DF7ED9">
        <w:rPr>
          <w:color w:val="auto"/>
          <w:szCs w:val="16"/>
        </w:rPr>
        <w:t xml:space="preserve"> or </w:t>
      </w:r>
      <w:r w:rsidR="00B07BDF" w:rsidRPr="00DF7ED9">
        <w:rPr>
          <w:color w:val="auto"/>
          <w:szCs w:val="16"/>
        </w:rPr>
        <w:t>initial index value</w:t>
      </w:r>
      <w:r w:rsidR="004B51F0" w:rsidRPr="00DF7ED9">
        <w:rPr>
          <w:color w:val="auto"/>
          <w:szCs w:val="16"/>
        </w:rPr>
        <w:t>, as applicable</w:t>
      </w:r>
      <w:r w:rsidRPr="00DF7ED9">
        <w:rPr>
          <w:color w:val="auto"/>
          <w:szCs w:val="16"/>
        </w:rPr>
        <w:t xml:space="preserve">. Similarly, the amount payable at maturity or upon an </w:t>
      </w:r>
      <w:r w:rsidR="00E9186E" w:rsidRPr="00DF7ED9">
        <w:rPr>
          <w:color w:val="auto"/>
          <w:szCs w:val="16"/>
        </w:rPr>
        <w:t>e</w:t>
      </w:r>
      <w:r w:rsidRPr="00DF7ED9">
        <w:rPr>
          <w:color w:val="auto"/>
          <w:szCs w:val="16"/>
        </w:rPr>
        <w:t xml:space="preserve">arly </w:t>
      </w:r>
      <w:r w:rsidR="00E9186E" w:rsidRPr="00DF7ED9">
        <w:rPr>
          <w:color w:val="auto"/>
          <w:szCs w:val="16"/>
        </w:rPr>
        <w:t>r</w:t>
      </w:r>
      <w:r w:rsidRPr="00DF7ED9">
        <w:rPr>
          <w:color w:val="auto"/>
          <w:szCs w:val="16"/>
        </w:rPr>
        <w:t xml:space="preserve">edemption will never exceed the sum of the principal amount and the applicable </w:t>
      </w:r>
      <w:r w:rsidR="007C3B65" w:rsidRPr="00DF7ED9">
        <w:rPr>
          <w:color w:val="auto"/>
          <w:szCs w:val="16"/>
        </w:rPr>
        <w:t>contingent quarterly coupon</w:t>
      </w:r>
      <w:r w:rsidRPr="00DF7ED9">
        <w:rPr>
          <w:color w:val="auto"/>
          <w:szCs w:val="16"/>
        </w:rPr>
        <w:t xml:space="preserve">, regardless of the extent to which the </w:t>
      </w:r>
      <w:r w:rsidR="004B51F0" w:rsidRPr="00DF7ED9">
        <w:rPr>
          <w:color w:val="auto"/>
          <w:szCs w:val="16"/>
        </w:rPr>
        <w:t>index closing value</w:t>
      </w:r>
      <w:r w:rsidRPr="00DF7ED9">
        <w:rPr>
          <w:color w:val="auto"/>
          <w:szCs w:val="16"/>
        </w:rPr>
        <w:t xml:space="preserve"> or </w:t>
      </w:r>
      <w:r w:rsidR="00B07BDF" w:rsidRPr="00DF7ED9">
        <w:rPr>
          <w:color w:val="auto"/>
          <w:szCs w:val="16"/>
        </w:rPr>
        <w:t>final index value</w:t>
      </w:r>
      <w:r w:rsidRPr="00DF7ED9">
        <w:rPr>
          <w:color w:val="auto"/>
          <w:szCs w:val="16"/>
        </w:rPr>
        <w:t xml:space="preserve"> of the </w:t>
      </w:r>
      <w:r w:rsidR="004B51F0" w:rsidRPr="00DF7ED9">
        <w:rPr>
          <w:color w:val="auto"/>
          <w:szCs w:val="16"/>
        </w:rPr>
        <w:t>underlying index</w:t>
      </w:r>
      <w:r w:rsidRPr="00DF7ED9">
        <w:rPr>
          <w:color w:val="auto"/>
          <w:szCs w:val="16"/>
        </w:rPr>
        <w:t xml:space="preserve"> exceeds its </w:t>
      </w:r>
      <w:r w:rsidR="00B07BDF" w:rsidRPr="00DF7ED9">
        <w:rPr>
          <w:color w:val="auto"/>
          <w:szCs w:val="16"/>
        </w:rPr>
        <w:t>initial index value</w:t>
      </w:r>
      <w:r w:rsidRPr="00DF7ED9">
        <w:rPr>
          <w:color w:val="auto"/>
          <w:szCs w:val="16"/>
        </w:rPr>
        <w:t xml:space="preserve">. In contrast, a direct investment in the securities included in the </w:t>
      </w:r>
      <w:r w:rsidR="004B51F0" w:rsidRPr="00DF7ED9">
        <w:rPr>
          <w:color w:val="auto"/>
          <w:szCs w:val="16"/>
        </w:rPr>
        <w:t>underlying index</w:t>
      </w:r>
      <w:r w:rsidRPr="00DF7ED9">
        <w:rPr>
          <w:color w:val="auto"/>
          <w:szCs w:val="16"/>
        </w:rPr>
        <w:t xml:space="preserve"> would allow you to receive the benefit of any appreciation in its value. Any return on the securities will not reflect the return you would realize if you actually owned those securities and received the dividends paid or distributions made on them.</w:t>
      </w:r>
    </w:p>
    <w:p w14:paraId="3E6A0B20" w14:textId="69B68CA7" w:rsidR="00892B72" w:rsidRPr="00DF7ED9" w:rsidRDefault="00C24AAF" w:rsidP="00892B72">
      <w:pPr>
        <w:pStyle w:val="BulletedListBlueLeftPadNoJustifyListBodyBlackListItem"/>
        <w:numPr>
          <w:ilvl w:val="0"/>
          <w:numId w:val="3"/>
        </w:numPr>
        <w:rPr>
          <w:color w:val="auto"/>
          <w:szCs w:val="16"/>
        </w:rPr>
      </w:pPr>
      <w:r w:rsidRPr="00DF7ED9">
        <w:rPr>
          <w:b/>
          <w:bCs/>
          <w:color w:val="auto"/>
          <w:szCs w:val="16"/>
        </w:rPr>
        <w:t xml:space="preserve">The securities are subject to </w:t>
      </w:r>
      <w:r w:rsidR="00E9186E" w:rsidRPr="00DF7ED9">
        <w:rPr>
          <w:b/>
          <w:bCs/>
          <w:color w:val="auto"/>
          <w:szCs w:val="16"/>
        </w:rPr>
        <w:t>early redemption</w:t>
      </w:r>
      <w:r w:rsidRPr="00DF7ED9">
        <w:rPr>
          <w:b/>
          <w:bCs/>
          <w:color w:val="auto"/>
          <w:szCs w:val="16"/>
        </w:rPr>
        <w:t xml:space="preserve">, which would limit your ability to receive the </w:t>
      </w:r>
      <w:r w:rsidR="007C3B65" w:rsidRPr="00DF7ED9">
        <w:rPr>
          <w:b/>
          <w:bCs/>
          <w:color w:val="auto"/>
          <w:szCs w:val="16"/>
        </w:rPr>
        <w:t>contingent quarterly coupon</w:t>
      </w:r>
      <w:r w:rsidRPr="00DF7ED9">
        <w:rPr>
          <w:b/>
          <w:bCs/>
          <w:color w:val="auto"/>
          <w:szCs w:val="16"/>
        </w:rPr>
        <w:t>s over the full term of the securities.</w:t>
      </w:r>
      <w:r w:rsidRPr="00DF7ED9">
        <w:rPr>
          <w:color w:val="auto"/>
          <w:szCs w:val="16"/>
        </w:rPr>
        <w:t xml:space="preserve"> </w:t>
      </w:r>
      <w:r w:rsidR="00E9186E" w:rsidRPr="00022A14">
        <w:rPr>
          <w:color w:val="auto"/>
          <w:szCs w:val="16"/>
        </w:rPr>
        <w:t xml:space="preserve">Beginning on </w:t>
      </w:r>
      <w:r w:rsidR="00290387">
        <w:rPr>
          <w:color w:val="auto"/>
          <w:szCs w:val="16"/>
        </w:rPr>
        <w:t>May 26, 2026</w:t>
      </w:r>
      <w:r w:rsidR="00E9186E" w:rsidRPr="00022A14">
        <w:rPr>
          <w:color w:val="auto"/>
          <w:szCs w:val="16"/>
        </w:rPr>
        <w:t>, on any redemption date, we have the right to redeem all (but not less than all) of the securities for a redemption payment equal to the stated principal amount plus any contingent</w:t>
      </w:r>
      <w:r w:rsidR="00E9186E" w:rsidRPr="00DF7ED9">
        <w:rPr>
          <w:color w:val="auto"/>
          <w:szCs w:val="16"/>
        </w:rPr>
        <w:t xml:space="preserve"> quarterly coupon </w:t>
      </w:r>
      <w:r w:rsidRPr="00DF7ED9">
        <w:rPr>
          <w:color w:val="auto"/>
          <w:szCs w:val="16"/>
        </w:rPr>
        <w:t xml:space="preserve">otherwise due </w:t>
      </w:r>
      <w:r w:rsidR="00E9186E" w:rsidRPr="00DF7ED9">
        <w:rPr>
          <w:color w:val="auto"/>
          <w:szCs w:val="16"/>
        </w:rPr>
        <w:t>with respect to the relevant observation date, as applicable.</w:t>
      </w:r>
      <w:r w:rsidRPr="00DF7ED9">
        <w:rPr>
          <w:color w:val="auto"/>
          <w:szCs w:val="16"/>
        </w:rPr>
        <w:t xml:space="preserve"> In this case, you will lose the opportunity to continue to receive </w:t>
      </w:r>
      <w:r w:rsidR="007C3B65" w:rsidRPr="00DF7ED9">
        <w:rPr>
          <w:color w:val="auto"/>
          <w:szCs w:val="16"/>
        </w:rPr>
        <w:t>contingent quarterly coupon</w:t>
      </w:r>
      <w:r w:rsidRPr="00DF7ED9">
        <w:rPr>
          <w:color w:val="auto"/>
          <w:szCs w:val="16"/>
        </w:rPr>
        <w:t xml:space="preserve">s after the date of </w:t>
      </w:r>
      <w:r w:rsidR="00E9186E" w:rsidRPr="00DF7ED9">
        <w:rPr>
          <w:color w:val="auto"/>
          <w:szCs w:val="16"/>
        </w:rPr>
        <w:t>early redemption</w:t>
      </w:r>
      <w:r w:rsidRPr="00DF7ED9">
        <w:rPr>
          <w:color w:val="auto"/>
          <w:szCs w:val="16"/>
        </w:rPr>
        <w:t xml:space="preserve">. If the securities are called prior to the </w:t>
      </w:r>
      <w:r w:rsidR="00E9186E" w:rsidRPr="00DF7ED9">
        <w:rPr>
          <w:color w:val="auto"/>
          <w:szCs w:val="16"/>
        </w:rPr>
        <w:t>m</w:t>
      </w:r>
      <w:r w:rsidRPr="00DF7ED9">
        <w:rPr>
          <w:color w:val="auto"/>
          <w:szCs w:val="16"/>
        </w:rPr>
        <w:t xml:space="preserve">aturity </w:t>
      </w:r>
      <w:r w:rsidR="00E9186E" w:rsidRPr="00DF7ED9">
        <w:rPr>
          <w:color w:val="auto"/>
          <w:szCs w:val="16"/>
        </w:rPr>
        <w:t>d</w:t>
      </w:r>
      <w:r w:rsidRPr="00DF7ED9">
        <w:rPr>
          <w:color w:val="auto"/>
          <w:szCs w:val="16"/>
        </w:rPr>
        <w:t xml:space="preserve">ate, you may be unable to invest in other securities with a similar level of risk that could provide a return that is similar to the securities. Even if we do not exercise our option to </w:t>
      </w:r>
      <w:r w:rsidR="00E9186E" w:rsidRPr="00DF7ED9">
        <w:rPr>
          <w:color w:val="auto"/>
          <w:szCs w:val="16"/>
        </w:rPr>
        <w:t>redeem</w:t>
      </w:r>
      <w:r w:rsidRPr="00DF7ED9">
        <w:rPr>
          <w:color w:val="auto"/>
          <w:szCs w:val="16"/>
        </w:rPr>
        <w:t xml:space="preserve"> your securities, our ability to do so may adversely affect the market value of your securities. It is our sole option whether to </w:t>
      </w:r>
      <w:r w:rsidR="00E9186E" w:rsidRPr="00DF7ED9">
        <w:rPr>
          <w:color w:val="auto"/>
          <w:szCs w:val="16"/>
        </w:rPr>
        <w:t>redeem</w:t>
      </w:r>
      <w:r w:rsidRPr="00DF7ED9">
        <w:rPr>
          <w:color w:val="auto"/>
          <w:szCs w:val="16"/>
        </w:rPr>
        <w:t xml:space="preserve"> your securities prior to maturity on any such </w:t>
      </w:r>
      <w:r w:rsidR="00E9186E" w:rsidRPr="00DF7ED9">
        <w:rPr>
          <w:color w:val="auto"/>
          <w:szCs w:val="16"/>
        </w:rPr>
        <w:t>redemption date</w:t>
      </w:r>
      <w:r w:rsidRPr="00DF7ED9">
        <w:rPr>
          <w:color w:val="auto"/>
          <w:szCs w:val="16"/>
        </w:rPr>
        <w:t xml:space="preserve"> and we may or may not exercise this option for any reason. Because of this </w:t>
      </w:r>
      <w:r w:rsidR="00E9186E" w:rsidRPr="00DF7ED9">
        <w:rPr>
          <w:color w:val="auto"/>
          <w:szCs w:val="16"/>
        </w:rPr>
        <w:t>early redemption</w:t>
      </w:r>
      <w:r w:rsidRPr="00DF7ED9">
        <w:rPr>
          <w:color w:val="auto"/>
          <w:szCs w:val="16"/>
        </w:rPr>
        <w:t xml:space="preserve"> potential, the term of your securities could be anywhere between </w:t>
      </w:r>
      <w:r w:rsidR="006F0564">
        <w:rPr>
          <w:color w:val="auto"/>
          <w:szCs w:val="16"/>
        </w:rPr>
        <w:t>three</w:t>
      </w:r>
      <w:r w:rsidR="00E9186E" w:rsidRPr="00DF7ED9">
        <w:rPr>
          <w:color w:val="auto"/>
          <w:szCs w:val="16"/>
        </w:rPr>
        <w:t xml:space="preserve"> months and two years</w:t>
      </w:r>
      <w:r w:rsidRPr="00DF7ED9">
        <w:rPr>
          <w:color w:val="auto"/>
          <w:szCs w:val="16"/>
        </w:rPr>
        <w:t>.</w:t>
      </w:r>
    </w:p>
    <w:p w14:paraId="0539934F" w14:textId="77777777" w:rsidR="00892B72" w:rsidRPr="00DF7ED9" w:rsidRDefault="00C24AAF" w:rsidP="00892B72">
      <w:pPr>
        <w:pStyle w:val="BulletedListBlueLeftPadNoJustifyListBodyBlackListItem"/>
        <w:numPr>
          <w:ilvl w:val="0"/>
          <w:numId w:val="4"/>
        </w:numPr>
        <w:rPr>
          <w:color w:val="auto"/>
          <w:szCs w:val="16"/>
        </w:rPr>
      </w:pPr>
      <w:r w:rsidRPr="00DF7ED9">
        <w:rPr>
          <w:b/>
          <w:bCs/>
          <w:color w:val="auto"/>
          <w:szCs w:val="16"/>
        </w:rPr>
        <w:t xml:space="preserve">You may not receive any </w:t>
      </w:r>
      <w:r w:rsidR="007C3B65" w:rsidRPr="00DF7ED9">
        <w:rPr>
          <w:b/>
          <w:bCs/>
          <w:color w:val="auto"/>
          <w:szCs w:val="16"/>
        </w:rPr>
        <w:t>contingent quarterly coupon</w:t>
      </w:r>
      <w:r w:rsidRPr="00DF7ED9">
        <w:rPr>
          <w:b/>
          <w:bCs/>
          <w:color w:val="auto"/>
          <w:szCs w:val="16"/>
        </w:rPr>
        <w:t>s.</w:t>
      </w:r>
      <w:r w:rsidRPr="00DF7ED9">
        <w:rPr>
          <w:color w:val="auto"/>
          <w:szCs w:val="16"/>
        </w:rPr>
        <w:t xml:space="preserve"> The securities do not provide for any regular fixed coupon payments. Investors in the securities will not necessarily receive any </w:t>
      </w:r>
      <w:r w:rsidR="007C3B65" w:rsidRPr="00DF7ED9">
        <w:rPr>
          <w:color w:val="auto"/>
          <w:szCs w:val="16"/>
        </w:rPr>
        <w:t>contingent quarterly coupon</w:t>
      </w:r>
      <w:r w:rsidRPr="00DF7ED9">
        <w:rPr>
          <w:color w:val="auto"/>
          <w:szCs w:val="16"/>
        </w:rPr>
        <w:t xml:space="preserve">s on the securities. If the </w:t>
      </w:r>
      <w:r w:rsidR="004B51F0" w:rsidRPr="00DF7ED9">
        <w:rPr>
          <w:color w:val="auto"/>
          <w:szCs w:val="16"/>
        </w:rPr>
        <w:t>index closing value</w:t>
      </w:r>
      <w:r w:rsidRPr="00DF7ED9">
        <w:rPr>
          <w:color w:val="auto"/>
          <w:szCs w:val="16"/>
        </w:rPr>
        <w:t xml:space="preserve"> of the </w:t>
      </w:r>
      <w:r w:rsidR="004B51F0" w:rsidRPr="00DF7ED9">
        <w:rPr>
          <w:color w:val="auto"/>
          <w:szCs w:val="16"/>
        </w:rPr>
        <w:t>underlying index</w:t>
      </w:r>
      <w:r w:rsidRPr="00DF7ED9">
        <w:rPr>
          <w:color w:val="auto"/>
          <w:szCs w:val="16"/>
        </w:rPr>
        <w:t xml:space="preserve"> is less than its </w:t>
      </w:r>
      <w:r w:rsidR="007C3B65" w:rsidRPr="00DF7ED9">
        <w:rPr>
          <w:color w:val="auto"/>
          <w:szCs w:val="16"/>
        </w:rPr>
        <w:t>coupon barrier</w:t>
      </w:r>
      <w:r w:rsidRPr="00DF7ED9">
        <w:rPr>
          <w:color w:val="auto"/>
          <w:szCs w:val="16"/>
        </w:rPr>
        <w:t xml:space="preserve"> on an </w:t>
      </w:r>
      <w:r w:rsidR="00E9186E" w:rsidRPr="00DF7ED9">
        <w:rPr>
          <w:color w:val="auto"/>
          <w:szCs w:val="16"/>
        </w:rPr>
        <w:t>o</w:t>
      </w:r>
      <w:r w:rsidRPr="00DF7ED9">
        <w:rPr>
          <w:color w:val="auto"/>
          <w:szCs w:val="16"/>
        </w:rPr>
        <w:t xml:space="preserve">bservation </w:t>
      </w:r>
      <w:r w:rsidR="00E9186E" w:rsidRPr="00DF7ED9">
        <w:rPr>
          <w:color w:val="auto"/>
          <w:szCs w:val="16"/>
        </w:rPr>
        <w:t>d</w:t>
      </w:r>
      <w:r w:rsidRPr="00DF7ED9">
        <w:rPr>
          <w:color w:val="auto"/>
          <w:szCs w:val="16"/>
        </w:rPr>
        <w:t xml:space="preserve">ate, you will not receive the </w:t>
      </w:r>
      <w:r w:rsidR="007C3B65" w:rsidRPr="00DF7ED9">
        <w:rPr>
          <w:color w:val="auto"/>
          <w:szCs w:val="16"/>
        </w:rPr>
        <w:t>contingent quarterly coupon</w:t>
      </w:r>
      <w:r w:rsidRPr="00DF7ED9">
        <w:rPr>
          <w:color w:val="auto"/>
          <w:szCs w:val="16"/>
        </w:rPr>
        <w:t xml:space="preserve"> applicable to that </w:t>
      </w:r>
      <w:r w:rsidR="00E9186E" w:rsidRPr="00DF7ED9">
        <w:rPr>
          <w:color w:val="auto"/>
          <w:szCs w:val="16"/>
        </w:rPr>
        <w:t>o</w:t>
      </w:r>
      <w:r w:rsidRPr="00DF7ED9">
        <w:rPr>
          <w:color w:val="auto"/>
          <w:szCs w:val="16"/>
        </w:rPr>
        <w:t xml:space="preserve">bservation </w:t>
      </w:r>
      <w:r w:rsidR="00E9186E" w:rsidRPr="00DF7ED9">
        <w:rPr>
          <w:color w:val="auto"/>
          <w:szCs w:val="16"/>
        </w:rPr>
        <w:t>d</w:t>
      </w:r>
      <w:r w:rsidRPr="00DF7ED9">
        <w:rPr>
          <w:color w:val="auto"/>
          <w:szCs w:val="16"/>
        </w:rPr>
        <w:t xml:space="preserve">ate. If the </w:t>
      </w:r>
      <w:r w:rsidR="004B51F0" w:rsidRPr="00DF7ED9">
        <w:rPr>
          <w:color w:val="auto"/>
          <w:szCs w:val="16"/>
        </w:rPr>
        <w:t>index closing value</w:t>
      </w:r>
      <w:r w:rsidRPr="00DF7ED9">
        <w:rPr>
          <w:color w:val="auto"/>
          <w:szCs w:val="16"/>
        </w:rPr>
        <w:t xml:space="preserve"> of the </w:t>
      </w:r>
      <w:r w:rsidR="004B51F0" w:rsidRPr="00DF7ED9">
        <w:rPr>
          <w:color w:val="auto"/>
          <w:szCs w:val="16"/>
        </w:rPr>
        <w:t>underlying index</w:t>
      </w:r>
      <w:r w:rsidRPr="00DF7ED9">
        <w:rPr>
          <w:color w:val="auto"/>
          <w:szCs w:val="16"/>
        </w:rPr>
        <w:t xml:space="preserve"> is less than its </w:t>
      </w:r>
      <w:r w:rsidR="007C3B65" w:rsidRPr="00DF7ED9">
        <w:rPr>
          <w:color w:val="auto"/>
          <w:szCs w:val="16"/>
        </w:rPr>
        <w:t>coupon barrier</w:t>
      </w:r>
      <w:r w:rsidRPr="00DF7ED9">
        <w:rPr>
          <w:color w:val="auto"/>
          <w:szCs w:val="16"/>
        </w:rPr>
        <w:t xml:space="preserve"> on all the </w:t>
      </w:r>
      <w:r w:rsidR="00E9186E" w:rsidRPr="00DF7ED9">
        <w:rPr>
          <w:color w:val="auto"/>
          <w:szCs w:val="16"/>
        </w:rPr>
        <w:t>o</w:t>
      </w:r>
      <w:r w:rsidRPr="00DF7ED9">
        <w:rPr>
          <w:color w:val="auto"/>
          <w:szCs w:val="16"/>
        </w:rPr>
        <w:t xml:space="preserve">bservation </w:t>
      </w:r>
      <w:r w:rsidR="00E9186E" w:rsidRPr="00DF7ED9">
        <w:rPr>
          <w:color w:val="auto"/>
          <w:szCs w:val="16"/>
        </w:rPr>
        <w:t>d</w:t>
      </w:r>
      <w:r w:rsidRPr="00DF7ED9">
        <w:rPr>
          <w:color w:val="auto"/>
          <w:szCs w:val="16"/>
        </w:rPr>
        <w:t xml:space="preserve">ates during the term of the securities, you will not receive any </w:t>
      </w:r>
      <w:r w:rsidR="007C3B65" w:rsidRPr="00DF7ED9">
        <w:rPr>
          <w:color w:val="auto"/>
          <w:szCs w:val="16"/>
        </w:rPr>
        <w:t>contingent quarterly coupon</w:t>
      </w:r>
      <w:r w:rsidRPr="00DF7ED9">
        <w:rPr>
          <w:color w:val="auto"/>
          <w:szCs w:val="16"/>
        </w:rPr>
        <w:t>s during the term of the securities, and will not receive a positive return on the securities.</w:t>
      </w:r>
    </w:p>
    <w:p w14:paraId="1326E45C" w14:textId="77777777" w:rsidR="00E35FAA" w:rsidRPr="00DF7ED9" w:rsidRDefault="00C24AAF" w:rsidP="00E35FAA">
      <w:pPr>
        <w:pStyle w:val="BulletedListBlueLeftPadNoJustifyListBodyBlackListItem"/>
        <w:numPr>
          <w:ilvl w:val="0"/>
          <w:numId w:val="5"/>
        </w:numPr>
        <w:rPr>
          <w:color w:val="auto"/>
          <w:szCs w:val="16"/>
        </w:rPr>
      </w:pPr>
      <w:r w:rsidRPr="00DF7ED9">
        <w:rPr>
          <w:b/>
          <w:bCs/>
          <w:color w:val="auto"/>
          <w:szCs w:val="16"/>
        </w:rPr>
        <w:t xml:space="preserve">Your return on the securities may be less than the yield on a conventional debt security of comparable maturity. </w:t>
      </w:r>
      <w:r w:rsidRPr="00DF7ED9">
        <w:rPr>
          <w:color w:val="auto"/>
          <w:szCs w:val="16"/>
        </w:rPr>
        <w:t xml:space="preserve">Any return that you receive on the securities may be less than the return you would earn if you purchased a conventional debt security with the same </w:t>
      </w:r>
      <w:r w:rsidR="00E9186E" w:rsidRPr="00DF7ED9">
        <w:rPr>
          <w:color w:val="auto"/>
          <w:szCs w:val="16"/>
        </w:rPr>
        <w:t>m</w:t>
      </w:r>
      <w:r w:rsidRPr="00DF7ED9">
        <w:rPr>
          <w:color w:val="auto"/>
          <w:szCs w:val="16"/>
        </w:rPr>
        <w:t xml:space="preserve">aturity </w:t>
      </w:r>
      <w:r w:rsidR="00E9186E" w:rsidRPr="00DF7ED9">
        <w:rPr>
          <w:color w:val="auto"/>
          <w:szCs w:val="16"/>
        </w:rPr>
        <w:t>d</w:t>
      </w:r>
      <w:r w:rsidRPr="00DF7ED9">
        <w:rPr>
          <w:color w:val="auto"/>
          <w:szCs w:val="16"/>
        </w:rPr>
        <w:t xml:space="preserve">ate. As a result, your investment in the securities may not reflect the full opportunity cost to you when you consider factors, such as inflation, that affect the time value of money. In addition, if interest rates increase during the term of the securities, the </w:t>
      </w:r>
      <w:r w:rsidR="007C3B65" w:rsidRPr="00DF7ED9">
        <w:rPr>
          <w:color w:val="auto"/>
          <w:szCs w:val="16"/>
        </w:rPr>
        <w:t>contingent quarterly coupon</w:t>
      </w:r>
      <w:r w:rsidRPr="00DF7ED9">
        <w:rPr>
          <w:color w:val="auto"/>
          <w:szCs w:val="16"/>
        </w:rPr>
        <w:t xml:space="preserve"> (if any) may be less than the yield on a conventional debt security of comparable maturity.</w:t>
      </w:r>
    </w:p>
    <w:p w14:paraId="614ED058" w14:textId="107FD54F" w:rsidR="00892B72" w:rsidRPr="00DF7ED9" w:rsidRDefault="00C24AAF" w:rsidP="00E35FAA">
      <w:pPr>
        <w:pStyle w:val="BulletedListBlueLeftPadNoJustifyListBodyBlackListItem"/>
        <w:numPr>
          <w:ilvl w:val="0"/>
          <w:numId w:val="5"/>
        </w:numPr>
        <w:rPr>
          <w:color w:val="auto"/>
          <w:szCs w:val="16"/>
        </w:rPr>
      </w:pPr>
      <w:r w:rsidRPr="00DF7ED9">
        <w:rPr>
          <w:b/>
          <w:bCs/>
          <w:color w:val="auto"/>
          <w:szCs w:val="16"/>
        </w:rPr>
        <w:t xml:space="preserve">The </w:t>
      </w:r>
      <w:r w:rsidR="007C3B65" w:rsidRPr="00DF7ED9">
        <w:rPr>
          <w:b/>
          <w:bCs/>
          <w:color w:val="auto"/>
          <w:szCs w:val="16"/>
        </w:rPr>
        <w:t>contingent quarterly coupon</w:t>
      </w:r>
      <w:r w:rsidRPr="00DF7ED9">
        <w:rPr>
          <w:b/>
          <w:bCs/>
          <w:color w:val="auto"/>
          <w:szCs w:val="16"/>
        </w:rPr>
        <w:t xml:space="preserve">, </w:t>
      </w:r>
      <w:r w:rsidR="00E9186E" w:rsidRPr="00DF7ED9">
        <w:rPr>
          <w:b/>
          <w:bCs/>
          <w:color w:val="auto"/>
          <w:szCs w:val="16"/>
        </w:rPr>
        <w:t>redemption payment</w:t>
      </w:r>
      <w:r w:rsidRPr="00DF7ED9">
        <w:rPr>
          <w:b/>
          <w:bCs/>
          <w:color w:val="auto"/>
          <w:szCs w:val="16"/>
        </w:rPr>
        <w:t xml:space="preserve"> or </w:t>
      </w:r>
      <w:r w:rsidR="00E9186E" w:rsidRPr="00DF7ED9">
        <w:rPr>
          <w:b/>
          <w:bCs/>
          <w:color w:val="auto"/>
          <w:szCs w:val="16"/>
        </w:rPr>
        <w:t>payment at maturity</w:t>
      </w:r>
      <w:r w:rsidRPr="00DF7ED9">
        <w:rPr>
          <w:b/>
          <w:bCs/>
          <w:color w:val="auto"/>
          <w:szCs w:val="16"/>
        </w:rPr>
        <w:t xml:space="preserve">, as applicable, will not reflect changes in the level of the </w:t>
      </w:r>
      <w:r w:rsidR="004B51F0" w:rsidRPr="00DF7ED9">
        <w:rPr>
          <w:b/>
          <w:bCs/>
          <w:color w:val="auto"/>
          <w:szCs w:val="16"/>
        </w:rPr>
        <w:t>underlying index</w:t>
      </w:r>
      <w:r w:rsidRPr="00DF7ED9">
        <w:rPr>
          <w:b/>
          <w:bCs/>
          <w:color w:val="auto"/>
          <w:szCs w:val="16"/>
        </w:rPr>
        <w:t xml:space="preserve"> other than on the </w:t>
      </w:r>
      <w:r w:rsidR="00E9186E" w:rsidRPr="00DF7ED9">
        <w:rPr>
          <w:b/>
          <w:bCs/>
          <w:color w:val="auto"/>
          <w:szCs w:val="16"/>
        </w:rPr>
        <w:t>o</w:t>
      </w:r>
      <w:r w:rsidRPr="00DF7ED9">
        <w:rPr>
          <w:b/>
          <w:bCs/>
          <w:color w:val="auto"/>
          <w:szCs w:val="16"/>
        </w:rPr>
        <w:t xml:space="preserve">bservation </w:t>
      </w:r>
      <w:r w:rsidR="00E9186E" w:rsidRPr="00DF7ED9">
        <w:rPr>
          <w:b/>
          <w:bCs/>
          <w:color w:val="auto"/>
          <w:szCs w:val="16"/>
        </w:rPr>
        <w:t>d</w:t>
      </w:r>
      <w:r w:rsidRPr="00DF7ED9">
        <w:rPr>
          <w:b/>
          <w:bCs/>
          <w:color w:val="auto"/>
          <w:szCs w:val="16"/>
        </w:rPr>
        <w:t xml:space="preserve">ates. </w:t>
      </w:r>
      <w:r w:rsidRPr="00DF7ED9">
        <w:rPr>
          <w:color w:val="auto"/>
          <w:szCs w:val="16"/>
        </w:rPr>
        <w:t xml:space="preserve">The level of the </w:t>
      </w:r>
      <w:r w:rsidR="004B51F0" w:rsidRPr="00DF7ED9">
        <w:rPr>
          <w:color w:val="auto"/>
          <w:szCs w:val="16"/>
        </w:rPr>
        <w:t>underlying index</w:t>
      </w:r>
      <w:r w:rsidRPr="00DF7ED9">
        <w:rPr>
          <w:color w:val="auto"/>
          <w:szCs w:val="16"/>
        </w:rPr>
        <w:t xml:space="preserve"> during the term of the securities other than on the </w:t>
      </w:r>
      <w:r w:rsidR="00E9186E" w:rsidRPr="00DF7ED9">
        <w:rPr>
          <w:color w:val="auto"/>
          <w:szCs w:val="16"/>
        </w:rPr>
        <w:t>o</w:t>
      </w:r>
      <w:r w:rsidRPr="00DF7ED9">
        <w:rPr>
          <w:color w:val="auto"/>
          <w:szCs w:val="16"/>
        </w:rPr>
        <w:t xml:space="preserve">bservation </w:t>
      </w:r>
      <w:r w:rsidR="00E9186E" w:rsidRPr="00DF7ED9">
        <w:rPr>
          <w:color w:val="auto"/>
          <w:szCs w:val="16"/>
        </w:rPr>
        <w:t>d</w:t>
      </w:r>
      <w:r w:rsidRPr="00DF7ED9">
        <w:rPr>
          <w:color w:val="auto"/>
          <w:szCs w:val="16"/>
        </w:rPr>
        <w:t xml:space="preserve">ates will not affect payments on the securities. Notwithstanding the foregoing, investors should generally be aware of the performance of the </w:t>
      </w:r>
      <w:r w:rsidR="004B51F0" w:rsidRPr="00DF7ED9">
        <w:rPr>
          <w:color w:val="auto"/>
          <w:szCs w:val="16"/>
        </w:rPr>
        <w:t>underlying index</w:t>
      </w:r>
      <w:r w:rsidRPr="00DF7ED9">
        <w:rPr>
          <w:color w:val="auto"/>
          <w:szCs w:val="16"/>
        </w:rPr>
        <w:t xml:space="preserve"> while holding the securities, as the performance of the </w:t>
      </w:r>
      <w:r w:rsidR="004B51F0" w:rsidRPr="00DF7ED9">
        <w:rPr>
          <w:color w:val="auto"/>
          <w:szCs w:val="16"/>
        </w:rPr>
        <w:t>underlying index</w:t>
      </w:r>
      <w:r w:rsidRPr="00DF7ED9">
        <w:rPr>
          <w:color w:val="auto"/>
          <w:szCs w:val="16"/>
        </w:rPr>
        <w:t xml:space="preserve"> may influence the market value of the securities</w:t>
      </w:r>
      <w:r w:rsidR="004036F0" w:rsidRPr="00DF7ED9">
        <w:rPr>
          <w:color w:val="auto"/>
          <w:szCs w:val="16"/>
        </w:rPr>
        <w:t xml:space="preserve"> and the payment of any contingent quarterly coupons</w:t>
      </w:r>
      <w:r w:rsidRPr="00DF7ED9">
        <w:rPr>
          <w:color w:val="auto"/>
          <w:szCs w:val="16"/>
        </w:rPr>
        <w:t xml:space="preserve">. The calculation agent will determine whether each </w:t>
      </w:r>
      <w:r w:rsidR="007C3B65" w:rsidRPr="00DF7ED9">
        <w:rPr>
          <w:color w:val="auto"/>
          <w:szCs w:val="16"/>
        </w:rPr>
        <w:t>contingent quarterly coupon</w:t>
      </w:r>
      <w:r w:rsidRPr="00DF7ED9">
        <w:rPr>
          <w:color w:val="auto"/>
          <w:szCs w:val="16"/>
        </w:rPr>
        <w:t xml:space="preserve"> is payable and will calculate the </w:t>
      </w:r>
      <w:r w:rsidR="00E9186E" w:rsidRPr="00DF7ED9">
        <w:rPr>
          <w:color w:val="auto"/>
          <w:szCs w:val="16"/>
        </w:rPr>
        <w:t>redemption payment</w:t>
      </w:r>
      <w:r w:rsidRPr="00DF7ED9">
        <w:rPr>
          <w:color w:val="auto"/>
          <w:szCs w:val="16"/>
        </w:rPr>
        <w:t xml:space="preserve"> or the </w:t>
      </w:r>
      <w:r w:rsidR="00E9186E" w:rsidRPr="00DF7ED9">
        <w:rPr>
          <w:color w:val="auto"/>
          <w:szCs w:val="16"/>
        </w:rPr>
        <w:t>payment at maturity</w:t>
      </w:r>
      <w:r w:rsidRPr="00DF7ED9">
        <w:rPr>
          <w:color w:val="auto"/>
          <w:szCs w:val="16"/>
        </w:rPr>
        <w:t xml:space="preserve">, as applicable, by comparing only the </w:t>
      </w:r>
      <w:r w:rsidR="00B07BDF" w:rsidRPr="00DF7ED9">
        <w:rPr>
          <w:color w:val="auto"/>
          <w:szCs w:val="16"/>
        </w:rPr>
        <w:t>initial index value</w:t>
      </w:r>
      <w:r w:rsidRPr="00DF7ED9">
        <w:rPr>
          <w:color w:val="auto"/>
          <w:szCs w:val="16"/>
        </w:rPr>
        <w:t xml:space="preserve">, the </w:t>
      </w:r>
      <w:r w:rsidR="007C3B65" w:rsidRPr="00DF7ED9">
        <w:rPr>
          <w:color w:val="auto"/>
          <w:szCs w:val="16"/>
        </w:rPr>
        <w:t>coupon barrier</w:t>
      </w:r>
      <w:r w:rsidRPr="00DF7ED9">
        <w:rPr>
          <w:color w:val="auto"/>
          <w:szCs w:val="16"/>
        </w:rPr>
        <w:t xml:space="preserve"> or the </w:t>
      </w:r>
      <w:r w:rsidR="007C3B65" w:rsidRPr="00DF7ED9">
        <w:rPr>
          <w:color w:val="auto"/>
          <w:szCs w:val="16"/>
        </w:rPr>
        <w:t>downside threshold level</w:t>
      </w:r>
      <w:r w:rsidRPr="00DF7ED9">
        <w:rPr>
          <w:color w:val="auto"/>
          <w:szCs w:val="16"/>
        </w:rPr>
        <w:t xml:space="preserve">, as applicable, to the </w:t>
      </w:r>
      <w:r w:rsidR="004B51F0" w:rsidRPr="00DF7ED9">
        <w:rPr>
          <w:color w:val="auto"/>
          <w:szCs w:val="16"/>
        </w:rPr>
        <w:t>index closing value</w:t>
      </w:r>
      <w:r w:rsidRPr="00DF7ED9">
        <w:rPr>
          <w:color w:val="auto"/>
          <w:szCs w:val="16"/>
        </w:rPr>
        <w:t xml:space="preserve"> or the </w:t>
      </w:r>
      <w:r w:rsidR="00B07BDF" w:rsidRPr="00DF7ED9">
        <w:rPr>
          <w:color w:val="auto"/>
          <w:szCs w:val="16"/>
        </w:rPr>
        <w:t>final index value</w:t>
      </w:r>
      <w:r w:rsidRPr="00DF7ED9">
        <w:rPr>
          <w:color w:val="auto"/>
          <w:szCs w:val="16"/>
        </w:rPr>
        <w:t xml:space="preserve"> for the </w:t>
      </w:r>
      <w:r w:rsidR="004B51F0" w:rsidRPr="00DF7ED9">
        <w:rPr>
          <w:color w:val="auto"/>
          <w:szCs w:val="16"/>
        </w:rPr>
        <w:t>underlying index</w:t>
      </w:r>
      <w:r w:rsidRPr="00DF7ED9">
        <w:rPr>
          <w:color w:val="auto"/>
          <w:szCs w:val="16"/>
        </w:rPr>
        <w:t xml:space="preserve">. No other levels of the </w:t>
      </w:r>
      <w:r w:rsidR="004B51F0" w:rsidRPr="00DF7ED9">
        <w:rPr>
          <w:color w:val="auto"/>
          <w:szCs w:val="16"/>
        </w:rPr>
        <w:t>underlying index</w:t>
      </w:r>
      <w:r w:rsidRPr="00DF7ED9">
        <w:rPr>
          <w:color w:val="auto"/>
          <w:szCs w:val="16"/>
        </w:rPr>
        <w:t xml:space="preserve"> will be taken into account. As a result, if the securities are not called prior to maturity and the </w:t>
      </w:r>
      <w:r w:rsidR="00B07BDF" w:rsidRPr="00DF7ED9">
        <w:rPr>
          <w:color w:val="auto"/>
          <w:szCs w:val="16"/>
        </w:rPr>
        <w:t>final index value</w:t>
      </w:r>
      <w:r w:rsidRPr="00DF7ED9">
        <w:rPr>
          <w:color w:val="auto"/>
          <w:szCs w:val="16"/>
        </w:rPr>
        <w:t xml:space="preserve"> of the </w:t>
      </w:r>
      <w:r w:rsidR="004B51F0" w:rsidRPr="00DF7ED9">
        <w:rPr>
          <w:color w:val="auto"/>
          <w:szCs w:val="16"/>
        </w:rPr>
        <w:t>underlying index</w:t>
      </w:r>
      <w:r w:rsidRPr="00DF7ED9">
        <w:rPr>
          <w:color w:val="auto"/>
          <w:szCs w:val="16"/>
        </w:rPr>
        <w:t xml:space="preserve"> is less than the </w:t>
      </w:r>
      <w:r w:rsidR="007C3B65" w:rsidRPr="00DF7ED9">
        <w:rPr>
          <w:color w:val="auto"/>
          <w:szCs w:val="16"/>
        </w:rPr>
        <w:t>downside threshold level</w:t>
      </w:r>
      <w:r w:rsidRPr="00DF7ED9">
        <w:rPr>
          <w:color w:val="auto"/>
          <w:szCs w:val="16"/>
        </w:rPr>
        <w:t xml:space="preserve">, you will receive less than the principal amount at maturity even if the level of the </w:t>
      </w:r>
      <w:r w:rsidR="004B51F0" w:rsidRPr="00DF7ED9">
        <w:rPr>
          <w:color w:val="auto"/>
          <w:szCs w:val="16"/>
        </w:rPr>
        <w:t>underlying index</w:t>
      </w:r>
      <w:r w:rsidRPr="00DF7ED9">
        <w:rPr>
          <w:color w:val="auto"/>
          <w:szCs w:val="16"/>
        </w:rPr>
        <w:t xml:space="preserve"> was always above its </w:t>
      </w:r>
      <w:r w:rsidR="007C3B65" w:rsidRPr="00DF7ED9">
        <w:rPr>
          <w:color w:val="auto"/>
          <w:szCs w:val="16"/>
        </w:rPr>
        <w:t>downside threshold level</w:t>
      </w:r>
      <w:r w:rsidRPr="00DF7ED9">
        <w:rPr>
          <w:color w:val="auto"/>
          <w:szCs w:val="16"/>
        </w:rPr>
        <w:t xml:space="preserve"> prior to the </w:t>
      </w:r>
      <w:r w:rsidR="00E9186E" w:rsidRPr="00DF7ED9">
        <w:rPr>
          <w:color w:val="auto"/>
          <w:szCs w:val="16"/>
        </w:rPr>
        <w:t>final observation date</w:t>
      </w:r>
      <w:r w:rsidRPr="00DF7ED9">
        <w:rPr>
          <w:color w:val="auto"/>
          <w:szCs w:val="16"/>
        </w:rPr>
        <w:t>.</w:t>
      </w:r>
    </w:p>
    <w:p w14:paraId="279BAB7E" w14:textId="6790C7C5" w:rsidR="00892B72" w:rsidRPr="00DF7ED9" w:rsidRDefault="00C24AAF" w:rsidP="0044592A">
      <w:pPr>
        <w:pStyle w:val="BulletedListBlueLeftPadNoJustifyListBodyBlackListItem"/>
        <w:numPr>
          <w:ilvl w:val="0"/>
          <w:numId w:val="7"/>
        </w:numPr>
        <w:rPr>
          <w:color w:val="auto"/>
          <w:szCs w:val="16"/>
        </w:rPr>
      </w:pPr>
      <w:r w:rsidRPr="00DF7ED9">
        <w:rPr>
          <w:b/>
          <w:bCs/>
          <w:color w:val="auto"/>
          <w:szCs w:val="16"/>
        </w:rPr>
        <w:t xml:space="preserve">Any payments on the securities are subject to our credit risk and the credit risk of the </w:t>
      </w:r>
      <w:r w:rsidR="00E9186E" w:rsidRPr="00DF7ED9">
        <w:rPr>
          <w:b/>
          <w:bCs/>
          <w:color w:val="auto"/>
          <w:szCs w:val="16"/>
        </w:rPr>
        <w:t>g</w:t>
      </w:r>
      <w:r w:rsidRPr="00DF7ED9">
        <w:rPr>
          <w:b/>
          <w:bCs/>
          <w:color w:val="auto"/>
          <w:szCs w:val="16"/>
        </w:rPr>
        <w:t xml:space="preserve">uarantor, and any actual or perceived changes in our or the </w:t>
      </w:r>
      <w:r w:rsidR="00E9186E" w:rsidRPr="00DF7ED9">
        <w:rPr>
          <w:b/>
          <w:bCs/>
          <w:color w:val="auto"/>
          <w:szCs w:val="16"/>
        </w:rPr>
        <w:t>g</w:t>
      </w:r>
      <w:r w:rsidRPr="00DF7ED9">
        <w:rPr>
          <w:b/>
          <w:bCs/>
          <w:color w:val="auto"/>
          <w:szCs w:val="16"/>
        </w:rPr>
        <w:t>uarantor’s creditworthiness are expected to affect the value of</w:t>
      </w:r>
      <w:r w:rsidR="00E03692">
        <w:rPr>
          <w:b/>
          <w:bCs/>
          <w:color w:val="auto"/>
          <w:szCs w:val="16"/>
        </w:rPr>
        <w:t>, or any amounts payable on,</w:t>
      </w:r>
      <w:r w:rsidRPr="00DF7ED9">
        <w:rPr>
          <w:b/>
          <w:bCs/>
          <w:color w:val="auto"/>
          <w:szCs w:val="16"/>
        </w:rPr>
        <w:t xml:space="preserve"> the securities.</w:t>
      </w:r>
      <w:r w:rsidRPr="00DF7ED9">
        <w:rPr>
          <w:color w:val="auto"/>
          <w:szCs w:val="16"/>
        </w:rPr>
        <w:t xml:space="preserve"> The securities are our unsecured </w:t>
      </w:r>
      <w:r w:rsidR="00E03692">
        <w:rPr>
          <w:color w:val="auto"/>
          <w:szCs w:val="16"/>
        </w:rPr>
        <w:t xml:space="preserve">senior </w:t>
      </w:r>
      <w:r w:rsidRPr="00DF7ED9">
        <w:rPr>
          <w:color w:val="auto"/>
          <w:szCs w:val="16"/>
        </w:rPr>
        <w:t xml:space="preserve">debt securities. Any payment on the securities will be fully and unconditionally guaranteed by the </w:t>
      </w:r>
      <w:r w:rsidR="00E9186E" w:rsidRPr="00DF7ED9">
        <w:rPr>
          <w:color w:val="auto"/>
          <w:szCs w:val="16"/>
        </w:rPr>
        <w:t>g</w:t>
      </w:r>
      <w:r w:rsidRPr="00DF7ED9">
        <w:rPr>
          <w:color w:val="auto"/>
          <w:szCs w:val="16"/>
        </w:rPr>
        <w:t xml:space="preserve">uarantor. The securities are not guaranteed by any entity other than the </w:t>
      </w:r>
      <w:r w:rsidR="00E9186E" w:rsidRPr="00DF7ED9">
        <w:rPr>
          <w:color w:val="auto"/>
          <w:szCs w:val="16"/>
        </w:rPr>
        <w:t>g</w:t>
      </w:r>
      <w:r w:rsidRPr="00DF7ED9">
        <w:rPr>
          <w:color w:val="auto"/>
          <w:szCs w:val="16"/>
        </w:rPr>
        <w:t xml:space="preserve">uarantor. As a result, your receipt of all payments on the securities will be dependent upon our ability and the ability of the </w:t>
      </w:r>
      <w:r w:rsidR="00E9186E" w:rsidRPr="00DF7ED9">
        <w:rPr>
          <w:color w:val="auto"/>
          <w:szCs w:val="16"/>
        </w:rPr>
        <w:t>g</w:t>
      </w:r>
      <w:r w:rsidRPr="00DF7ED9">
        <w:rPr>
          <w:color w:val="auto"/>
          <w:szCs w:val="16"/>
        </w:rPr>
        <w:t xml:space="preserve">uarantor to repay our respective obligations under the securities on the applicable </w:t>
      </w:r>
      <w:r w:rsidR="00E9186E" w:rsidRPr="00DF7ED9">
        <w:rPr>
          <w:color w:val="auto"/>
          <w:szCs w:val="16"/>
        </w:rPr>
        <w:t>payment date</w:t>
      </w:r>
      <w:r w:rsidRPr="00DF7ED9">
        <w:rPr>
          <w:color w:val="auto"/>
          <w:szCs w:val="16"/>
        </w:rPr>
        <w:t xml:space="preserve">, regardless of the index closing value of the </w:t>
      </w:r>
      <w:r w:rsidR="004B51F0" w:rsidRPr="00DF7ED9">
        <w:rPr>
          <w:color w:val="auto"/>
          <w:szCs w:val="16"/>
        </w:rPr>
        <w:t>underlying index</w:t>
      </w:r>
      <w:r w:rsidRPr="00DF7ED9">
        <w:rPr>
          <w:color w:val="auto"/>
          <w:szCs w:val="16"/>
        </w:rPr>
        <w:t xml:space="preserve"> as compared to the coupon barrier level, downside threshold level or </w:t>
      </w:r>
      <w:r w:rsidR="00B07BDF" w:rsidRPr="00DF7ED9">
        <w:rPr>
          <w:color w:val="auto"/>
          <w:szCs w:val="16"/>
        </w:rPr>
        <w:t>initial index value</w:t>
      </w:r>
      <w:r w:rsidRPr="00DF7ED9">
        <w:rPr>
          <w:color w:val="auto"/>
          <w:szCs w:val="16"/>
        </w:rPr>
        <w:t xml:space="preserve">, as applicable. </w:t>
      </w:r>
      <w:r w:rsidR="00596108" w:rsidRPr="00DF7ED9">
        <w:rPr>
          <w:rFonts w:cs="Times New Roman"/>
          <w:color w:val="auto"/>
          <w:w w:val="0"/>
          <w:szCs w:val="24"/>
        </w:rPr>
        <w:t>No assurance can be given as to what our financial condition or the financial condition of the guarantor will be on any payment date, including the maturity date. if we and the guarantor become unable to meet our respective financial obligations as they become due, you may not receive the amounts payable under the terms of the securities and you could lose all of your initial investment.</w:t>
      </w:r>
      <w:r w:rsidRPr="00DF7ED9">
        <w:rPr>
          <w:color w:val="auto"/>
          <w:szCs w:val="16"/>
        </w:rPr>
        <w:br/>
      </w:r>
      <w:r w:rsidRPr="00DF7ED9">
        <w:rPr>
          <w:color w:val="auto"/>
          <w:szCs w:val="16"/>
        </w:rPr>
        <w:br/>
      </w:r>
      <w:r w:rsidRPr="00DF7ED9">
        <w:rPr>
          <w:color w:val="auto"/>
          <w:szCs w:val="16"/>
        </w:rPr>
        <w:lastRenderedPageBreak/>
        <w:t xml:space="preserve">In addition, our credit ratings and the credit ratings of the </w:t>
      </w:r>
      <w:r w:rsidR="00E9186E" w:rsidRPr="00DF7ED9">
        <w:rPr>
          <w:color w:val="auto"/>
          <w:szCs w:val="16"/>
        </w:rPr>
        <w:t>g</w:t>
      </w:r>
      <w:r w:rsidRPr="00DF7ED9">
        <w:rPr>
          <w:color w:val="auto"/>
          <w:szCs w:val="16"/>
        </w:rPr>
        <w:t xml:space="preserve">uarantor are assessments by ratings agencies of our respective abilities to pay our obligations.  Consequently, our or the </w:t>
      </w:r>
      <w:r w:rsidR="00E9186E" w:rsidRPr="00DF7ED9">
        <w:rPr>
          <w:color w:val="auto"/>
          <w:szCs w:val="16"/>
        </w:rPr>
        <w:t>g</w:t>
      </w:r>
      <w:r w:rsidRPr="00DF7ED9">
        <w:rPr>
          <w:color w:val="auto"/>
          <w:szCs w:val="16"/>
        </w:rPr>
        <w:t xml:space="preserve">uarantor’s perceived creditworthiness and actual or anticipated decreases in our or the </w:t>
      </w:r>
      <w:r w:rsidR="00E9186E" w:rsidRPr="00DF7ED9">
        <w:rPr>
          <w:color w:val="auto"/>
          <w:szCs w:val="16"/>
        </w:rPr>
        <w:t>g</w:t>
      </w:r>
      <w:r w:rsidRPr="00DF7ED9">
        <w:rPr>
          <w:color w:val="auto"/>
          <w:szCs w:val="16"/>
        </w:rPr>
        <w:t xml:space="preserve">uarantor’s credit ratings or increases in the spread between the yield on our respective securities and the yield on U.S. Treasury securities (the “credit spread”) prior to the </w:t>
      </w:r>
      <w:r w:rsidR="00E9186E" w:rsidRPr="00DF7ED9">
        <w:rPr>
          <w:color w:val="auto"/>
          <w:szCs w:val="16"/>
        </w:rPr>
        <w:t>m</w:t>
      </w:r>
      <w:r w:rsidRPr="00DF7ED9">
        <w:rPr>
          <w:color w:val="auto"/>
          <w:szCs w:val="16"/>
        </w:rPr>
        <w:t xml:space="preserve">aturity </w:t>
      </w:r>
      <w:r w:rsidR="00E9186E" w:rsidRPr="00DF7ED9">
        <w:rPr>
          <w:color w:val="auto"/>
          <w:szCs w:val="16"/>
        </w:rPr>
        <w:t>d</w:t>
      </w:r>
      <w:r w:rsidRPr="00DF7ED9">
        <w:rPr>
          <w:color w:val="auto"/>
          <w:szCs w:val="16"/>
        </w:rPr>
        <w:t xml:space="preserve">ate may adversely affect the market value of the securities.  However, because your return on the securities depends upon factors in addition to our ability and the ability of the </w:t>
      </w:r>
      <w:r w:rsidR="00E9186E" w:rsidRPr="00DF7ED9">
        <w:rPr>
          <w:color w:val="auto"/>
          <w:szCs w:val="16"/>
        </w:rPr>
        <w:t>g</w:t>
      </w:r>
      <w:r w:rsidRPr="00DF7ED9">
        <w:rPr>
          <w:color w:val="auto"/>
          <w:szCs w:val="16"/>
        </w:rPr>
        <w:t xml:space="preserve">uarantor to pay our respective obligations, such as the value of the </w:t>
      </w:r>
      <w:r w:rsidR="004B51F0" w:rsidRPr="00DF7ED9">
        <w:rPr>
          <w:color w:val="auto"/>
          <w:szCs w:val="16"/>
        </w:rPr>
        <w:t>underlying index</w:t>
      </w:r>
      <w:r w:rsidRPr="00DF7ED9">
        <w:rPr>
          <w:color w:val="auto"/>
          <w:szCs w:val="16"/>
        </w:rPr>
        <w:t xml:space="preserve">, an improvement in our or the </w:t>
      </w:r>
      <w:r w:rsidR="00E9186E" w:rsidRPr="00DF7ED9">
        <w:rPr>
          <w:color w:val="auto"/>
          <w:szCs w:val="16"/>
        </w:rPr>
        <w:t>g</w:t>
      </w:r>
      <w:r w:rsidRPr="00DF7ED9">
        <w:rPr>
          <w:color w:val="auto"/>
          <w:szCs w:val="16"/>
        </w:rPr>
        <w:t>uarantor’s credit ratings will not reduce the other investment risks related to the securities.</w:t>
      </w:r>
    </w:p>
    <w:p w14:paraId="1A0ECD5A" w14:textId="1F3849D4" w:rsidR="00892B72" w:rsidRPr="00DF7ED9" w:rsidRDefault="00C24AAF" w:rsidP="00892B72">
      <w:pPr>
        <w:pStyle w:val="BulletedListBlueLeftPadNoJustifyListBodyBlackListItem"/>
        <w:numPr>
          <w:ilvl w:val="0"/>
          <w:numId w:val="8"/>
        </w:numPr>
        <w:rPr>
          <w:color w:val="auto"/>
          <w:szCs w:val="16"/>
        </w:rPr>
      </w:pPr>
      <w:r w:rsidRPr="00DF7ED9">
        <w:rPr>
          <w:b/>
          <w:bCs/>
          <w:color w:val="auto"/>
          <w:szCs w:val="16"/>
        </w:rPr>
        <w:t>We are a finance subsidiary and, as such, have no independent assets, operations, or revenues.</w:t>
      </w:r>
      <w:r w:rsidRPr="00DF7ED9">
        <w:rPr>
          <w:color w:val="auto"/>
          <w:szCs w:val="16"/>
        </w:rPr>
        <w:t xml:space="preserve"> We are a finance subsidiary of the </w:t>
      </w:r>
      <w:r w:rsidR="00E9186E" w:rsidRPr="00DF7ED9">
        <w:rPr>
          <w:color w:val="auto"/>
          <w:szCs w:val="16"/>
        </w:rPr>
        <w:t>g</w:t>
      </w:r>
      <w:r w:rsidRPr="00DF7ED9">
        <w:rPr>
          <w:color w:val="auto"/>
          <w:szCs w:val="16"/>
        </w:rPr>
        <w:t xml:space="preserve">uarantor, have no operations other than those related to the issuance, administration and </w:t>
      </w:r>
      <w:r w:rsidR="00E03692">
        <w:rPr>
          <w:color w:val="auto"/>
          <w:szCs w:val="16"/>
        </w:rPr>
        <w:t xml:space="preserve">payment of our obligations under </w:t>
      </w:r>
      <w:r w:rsidRPr="00DF7ED9">
        <w:rPr>
          <w:color w:val="auto"/>
          <w:szCs w:val="16"/>
        </w:rPr>
        <w:t xml:space="preserve">our debt securities that are guaranteed by the </w:t>
      </w:r>
      <w:r w:rsidR="00E9186E" w:rsidRPr="00DF7ED9">
        <w:rPr>
          <w:color w:val="auto"/>
          <w:szCs w:val="16"/>
        </w:rPr>
        <w:t>g</w:t>
      </w:r>
      <w:r w:rsidRPr="00DF7ED9">
        <w:rPr>
          <w:color w:val="auto"/>
          <w:szCs w:val="16"/>
        </w:rPr>
        <w:t xml:space="preserve">uarantor, and are dependent upon the </w:t>
      </w:r>
      <w:r w:rsidR="00E9186E" w:rsidRPr="00DF7ED9">
        <w:rPr>
          <w:color w:val="auto"/>
          <w:szCs w:val="16"/>
        </w:rPr>
        <w:t>g</w:t>
      </w:r>
      <w:r w:rsidRPr="00DF7ED9">
        <w:rPr>
          <w:color w:val="auto"/>
          <w:szCs w:val="16"/>
        </w:rPr>
        <w:t>uarantor and/or its other subsidiaries to meet our obligations under the securities in the ordinary course. Therefore, our ability to make payments on the securities may be limited.</w:t>
      </w:r>
    </w:p>
    <w:p w14:paraId="44E8C199" w14:textId="77777777" w:rsidR="00892B72" w:rsidRPr="00DF7ED9" w:rsidRDefault="00C24AAF" w:rsidP="00892B72">
      <w:pPr>
        <w:spacing w:after="220" w:line="288" w:lineRule="atLeast"/>
        <w:ind w:left="792" w:right="792" w:hanging="792"/>
        <w:rPr>
          <w:rFonts w:ascii="Arial" w:eastAsia="Arial" w:hAnsi="Arial" w:cs="Arial"/>
          <w:b/>
          <w:bCs/>
          <w:color w:val="296DC1"/>
          <w:sz w:val="16"/>
          <w:szCs w:val="16"/>
          <w:u w:val="single"/>
        </w:rPr>
      </w:pPr>
      <w:r w:rsidRPr="00DF7ED9">
        <w:rPr>
          <w:rFonts w:ascii="Arial" w:eastAsia="Arial" w:hAnsi="Arial" w:cs="Arial"/>
          <w:b/>
          <w:bCs/>
          <w:color w:val="296DC1"/>
          <w:sz w:val="16"/>
          <w:szCs w:val="16"/>
          <w:u w:val="single"/>
        </w:rPr>
        <w:t>Valuation- and Market-related Risks</w:t>
      </w:r>
    </w:p>
    <w:p w14:paraId="3057E47F" w14:textId="4EAAC933" w:rsidR="00892B72" w:rsidRPr="00DF7ED9" w:rsidRDefault="00C24AAF" w:rsidP="00892B72">
      <w:pPr>
        <w:pStyle w:val="BulletedListBlueLeftPadNoJustifyListBodyBlackListItem"/>
        <w:numPr>
          <w:ilvl w:val="0"/>
          <w:numId w:val="9"/>
        </w:numPr>
        <w:rPr>
          <w:color w:val="auto"/>
          <w:szCs w:val="16"/>
        </w:rPr>
      </w:pPr>
      <w:r w:rsidRPr="00DF7ED9">
        <w:rPr>
          <w:b/>
          <w:bCs/>
          <w:color w:val="auto"/>
          <w:szCs w:val="16"/>
        </w:rPr>
        <w:t xml:space="preserve">The </w:t>
      </w:r>
      <w:r w:rsidR="00E9186E" w:rsidRPr="00DF7ED9">
        <w:rPr>
          <w:b/>
          <w:bCs/>
          <w:color w:val="auto"/>
          <w:szCs w:val="16"/>
        </w:rPr>
        <w:t>price to public</w:t>
      </w:r>
      <w:r w:rsidRPr="00DF7ED9">
        <w:rPr>
          <w:b/>
          <w:bCs/>
          <w:color w:val="auto"/>
          <w:szCs w:val="16"/>
        </w:rPr>
        <w:t xml:space="preserve"> you</w:t>
      </w:r>
      <w:r w:rsidR="006428A2">
        <w:rPr>
          <w:b/>
          <w:bCs/>
          <w:color w:val="auto"/>
          <w:szCs w:val="16"/>
        </w:rPr>
        <w:t xml:space="preserve"> are</w:t>
      </w:r>
      <w:r w:rsidRPr="00DF7ED9">
        <w:rPr>
          <w:b/>
          <w:bCs/>
          <w:color w:val="auto"/>
          <w:szCs w:val="16"/>
        </w:rPr>
        <w:t xml:space="preserve"> pay</w:t>
      </w:r>
      <w:r w:rsidR="006428A2">
        <w:rPr>
          <w:b/>
          <w:bCs/>
          <w:color w:val="auto"/>
          <w:szCs w:val="16"/>
        </w:rPr>
        <w:t>ing</w:t>
      </w:r>
      <w:r w:rsidRPr="00DF7ED9">
        <w:rPr>
          <w:b/>
          <w:bCs/>
          <w:color w:val="auto"/>
          <w:szCs w:val="16"/>
        </w:rPr>
        <w:t xml:space="preserve"> for the securities exceed</w:t>
      </w:r>
      <w:r w:rsidR="006428A2">
        <w:rPr>
          <w:b/>
          <w:bCs/>
          <w:color w:val="auto"/>
          <w:szCs w:val="16"/>
        </w:rPr>
        <w:t>s</w:t>
      </w:r>
      <w:r w:rsidRPr="00DF7ED9">
        <w:rPr>
          <w:b/>
          <w:bCs/>
          <w:color w:val="auto"/>
          <w:szCs w:val="16"/>
        </w:rPr>
        <w:t xml:space="preserve"> their initial estimated value. </w:t>
      </w:r>
      <w:r w:rsidRPr="00DF7ED9">
        <w:rPr>
          <w:color w:val="auto"/>
          <w:szCs w:val="16"/>
        </w:rPr>
        <w:t xml:space="preserve">The </w:t>
      </w:r>
      <w:r w:rsidR="006428A2">
        <w:rPr>
          <w:color w:val="auto"/>
          <w:szCs w:val="16"/>
        </w:rPr>
        <w:t>i</w:t>
      </w:r>
      <w:r w:rsidRPr="00DF7ED9">
        <w:rPr>
          <w:color w:val="auto"/>
          <w:szCs w:val="16"/>
        </w:rPr>
        <w:t>nitial estimated value of the securities that is provided on the cover page of this pricing supplement</w:t>
      </w:r>
      <w:r w:rsidR="006428A2">
        <w:rPr>
          <w:color w:val="auto"/>
          <w:szCs w:val="16"/>
        </w:rPr>
        <w:t xml:space="preserve"> is an estimate only, determined</w:t>
      </w:r>
      <w:r w:rsidRPr="00DF7ED9">
        <w:rPr>
          <w:color w:val="auto"/>
          <w:szCs w:val="16"/>
        </w:rPr>
        <w:t xml:space="preserve"> as of the pricing date by reference to our and our affiliates’ pricing models. These pricing models consider certain assumptions and variables, including our credit spreads and those of the </w:t>
      </w:r>
      <w:r w:rsidR="00E9186E" w:rsidRPr="00DF7ED9">
        <w:rPr>
          <w:color w:val="auto"/>
          <w:szCs w:val="16"/>
        </w:rPr>
        <w:t>g</w:t>
      </w:r>
      <w:r w:rsidRPr="00DF7ED9">
        <w:rPr>
          <w:color w:val="auto"/>
          <w:szCs w:val="16"/>
        </w:rPr>
        <w:t xml:space="preserve">uarantor, the </w:t>
      </w:r>
      <w:r w:rsidR="00E9186E" w:rsidRPr="00DF7ED9">
        <w:rPr>
          <w:color w:val="auto"/>
          <w:szCs w:val="16"/>
        </w:rPr>
        <w:t>g</w:t>
      </w:r>
      <w:r w:rsidRPr="00DF7ED9">
        <w:rPr>
          <w:color w:val="auto"/>
          <w:szCs w:val="16"/>
        </w:rPr>
        <w:t xml:space="preserve">uarantor’s internal funding rate, mid-market terms on hedging transactions, expectations on interest rates, dividends and volatility, price-sensitivity analysis, and the expected term of the securities.  These pricing models rely in part on certain forecasts about future events, which may prove to be incorrect. If you attempt to sell the securities prior to maturity, their market value may be lower than the price you paid for them and lower than their initial estimated value. This is due to, among other things, changes in the level of the </w:t>
      </w:r>
      <w:r w:rsidR="004B51F0" w:rsidRPr="00DF7ED9">
        <w:rPr>
          <w:color w:val="auto"/>
          <w:szCs w:val="16"/>
        </w:rPr>
        <w:t>underlying index</w:t>
      </w:r>
      <w:r w:rsidRPr="00DF7ED9">
        <w:rPr>
          <w:color w:val="auto"/>
          <w:szCs w:val="16"/>
        </w:rPr>
        <w:t xml:space="preserve">, changes in the </w:t>
      </w:r>
      <w:r w:rsidR="00E9186E" w:rsidRPr="00DF7ED9">
        <w:rPr>
          <w:color w:val="auto"/>
          <w:szCs w:val="16"/>
        </w:rPr>
        <w:t>g</w:t>
      </w:r>
      <w:r w:rsidRPr="00DF7ED9">
        <w:rPr>
          <w:color w:val="auto"/>
          <w:szCs w:val="16"/>
        </w:rPr>
        <w:t xml:space="preserve">uarantor’s internal funding rate, and the inclusion in the </w:t>
      </w:r>
      <w:r w:rsidR="00E9186E" w:rsidRPr="00DF7ED9">
        <w:rPr>
          <w:color w:val="auto"/>
          <w:szCs w:val="16"/>
        </w:rPr>
        <w:t>price to public</w:t>
      </w:r>
      <w:r w:rsidRPr="00DF7ED9">
        <w:rPr>
          <w:color w:val="auto"/>
          <w:szCs w:val="16"/>
        </w:rPr>
        <w:t xml:space="preserve"> of the </w:t>
      </w:r>
      <w:r w:rsidR="00E9186E" w:rsidRPr="00DF7ED9">
        <w:rPr>
          <w:color w:val="auto"/>
          <w:szCs w:val="16"/>
        </w:rPr>
        <w:t>agent’s commissions and fees</w:t>
      </w:r>
      <w:r w:rsidRPr="00DF7ED9">
        <w:rPr>
          <w:color w:val="auto"/>
          <w:szCs w:val="16"/>
        </w:rPr>
        <w:t xml:space="preserve">, if any, and the hedging related charges, all as further described in “Structuring the </w:t>
      </w:r>
      <w:r w:rsidR="003B07B0" w:rsidRPr="00DF7ED9">
        <w:rPr>
          <w:color w:val="auto"/>
          <w:szCs w:val="16"/>
        </w:rPr>
        <w:t>s</w:t>
      </w:r>
      <w:r w:rsidRPr="00DF7ED9">
        <w:rPr>
          <w:color w:val="auto"/>
          <w:szCs w:val="16"/>
        </w:rPr>
        <w:t>ecurities” below. These factors, together with various credit, market and economic factors over the term of the securities, are expected to reduce the price at which you may be able to sell the securities in any secondary market and will affect the value of the securities in complex and unpredictable ways.</w:t>
      </w:r>
    </w:p>
    <w:p w14:paraId="36E5B4C7" w14:textId="77777777" w:rsidR="00892B72" w:rsidRPr="00DF7ED9" w:rsidRDefault="00C24AAF" w:rsidP="00892B72">
      <w:pPr>
        <w:pStyle w:val="BulletedListBlueLeftPadNoJustifyListBodyBlackListItem"/>
        <w:numPr>
          <w:ilvl w:val="0"/>
          <w:numId w:val="10"/>
        </w:numPr>
        <w:rPr>
          <w:color w:val="auto"/>
          <w:szCs w:val="16"/>
        </w:rPr>
      </w:pPr>
      <w:r w:rsidRPr="00DF7ED9">
        <w:rPr>
          <w:b/>
          <w:bCs/>
          <w:color w:val="auto"/>
          <w:szCs w:val="16"/>
        </w:rPr>
        <w:t>The initial estimated value does not represent a minimum or maximum price at which we, BAC, BofAS or any of our other affiliates would be willing to purchase your securities in any secondary market (if any exists) at any time</w:t>
      </w:r>
      <w:r w:rsidRPr="00DF7ED9">
        <w:rPr>
          <w:color w:val="auto"/>
          <w:szCs w:val="16"/>
        </w:rPr>
        <w:t xml:space="preserve">. The value of your securities at any time after issuance will vary based on many factors that cannot be predicted with accuracy, including the performance of the </w:t>
      </w:r>
      <w:r w:rsidR="004B51F0" w:rsidRPr="00DF7ED9">
        <w:rPr>
          <w:color w:val="auto"/>
          <w:szCs w:val="16"/>
        </w:rPr>
        <w:t>underlying index</w:t>
      </w:r>
      <w:r w:rsidRPr="00DF7ED9">
        <w:rPr>
          <w:color w:val="auto"/>
          <w:szCs w:val="16"/>
        </w:rPr>
        <w:t>, our and BAC’s creditworthiness and changes in market conditions.</w:t>
      </w:r>
    </w:p>
    <w:p w14:paraId="25550B90" w14:textId="77777777" w:rsidR="00892B72" w:rsidRPr="00DF7ED9" w:rsidRDefault="00C24AAF" w:rsidP="00892B72">
      <w:pPr>
        <w:pStyle w:val="BulletedListBlueLeftPadNoJustifyListBodyBlackListItem"/>
        <w:numPr>
          <w:ilvl w:val="0"/>
          <w:numId w:val="11"/>
        </w:numPr>
        <w:rPr>
          <w:color w:val="auto"/>
          <w:szCs w:val="16"/>
        </w:rPr>
      </w:pPr>
      <w:r w:rsidRPr="00DF7ED9">
        <w:rPr>
          <w:b/>
          <w:bCs/>
          <w:color w:val="auto"/>
          <w:szCs w:val="16"/>
        </w:rPr>
        <w:t>We cannot assure you that a trading market for your securities will ever develop or be maintained.</w:t>
      </w:r>
      <w:r w:rsidRPr="00DF7ED9">
        <w:rPr>
          <w:color w:val="auto"/>
          <w:szCs w:val="16"/>
        </w:rPr>
        <w:t xml:space="preserve"> We will not list the securities on any securities exchange. We cannot predict how the securities will trade in any secondary market or whether that market will be liquid or illiquid.</w:t>
      </w:r>
    </w:p>
    <w:p w14:paraId="4AA961E9" w14:textId="77777777" w:rsidR="00892B72" w:rsidRPr="00DF7ED9" w:rsidRDefault="00C24AAF" w:rsidP="00892B72">
      <w:pPr>
        <w:spacing w:after="220" w:line="288" w:lineRule="atLeast"/>
        <w:ind w:left="792" w:right="792" w:hanging="792"/>
        <w:rPr>
          <w:rFonts w:ascii="Arial" w:eastAsia="Arial" w:hAnsi="Arial" w:cs="Arial"/>
          <w:b/>
          <w:bCs/>
          <w:color w:val="296DC1"/>
          <w:sz w:val="16"/>
          <w:szCs w:val="16"/>
          <w:u w:val="single"/>
        </w:rPr>
      </w:pPr>
      <w:r w:rsidRPr="00DF7ED9">
        <w:rPr>
          <w:rFonts w:ascii="Arial" w:eastAsia="Arial" w:hAnsi="Arial" w:cs="Arial"/>
          <w:b/>
          <w:bCs/>
          <w:color w:val="296DC1"/>
          <w:sz w:val="16"/>
          <w:szCs w:val="16"/>
          <w:u w:val="single"/>
        </w:rPr>
        <w:t>Conflict-related Risks</w:t>
      </w:r>
    </w:p>
    <w:p w14:paraId="5F1E163D" w14:textId="1772834E" w:rsidR="00892B72" w:rsidRPr="00DF7ED9" w:rsidRDefault="00C24AAF" w:rsidP="00892B72">
      <w:pPr>
        <w:pStyle w:val="BulletedListBlueLeftPadNoJustifyListBodyBlackListItem"/>
        <w:numPr>
          <w:ilvl w:val="0"/>
          <w:numId w:val="12"/>
        </w:numPr>
        <w:rPr>
          <w:color w:val="auto"/>
          <w:szCs w:val="16"/>
        </w:rPr>
      </w:pPr>
      <w:r w:rsidRPr="00DF7ED9">
        <w:rPr>
          <w:b/>
          <w:bCs/>
          <w:color w:val="auto"/>
          <w:szCs w:val="16"/>
        </w:rPr>
        <w:t xml:space="preserve">Trading and hedging activities by us, the </w:t>
      </w:r>
      <w:r w:rsidR="00E9186E" w:rsidRPr="00DF7ED9">
        <w:rPr>
          <w:b/>
          <w:bCs/>
          <w:color w:val="auto"/>
          <w:szCs w:val="16"/>
        </w:rPr>
        <w:t>g</w:t>
      </w:r>
      <w:r w:rsidRPr="00DF7ED9">
        <w:rPr>
          <w:b/>
          <w:bCs/>
          <w:color w:val="auto"/>
          <w:szCs w:val="16"/>
        </w:rPr>
        <w:t xml:space="preserve">uarantor and any of our other affiliates, including BofAS, may create conflicts of interest with you and may </w:t>
      </w:r>
      <w:r w:rsidR="00C65D9A">
        <w:rPr>
          <w:b/>
          <w:bCs/>
          <w:color w:val="auto"/>
          <w:szCs w:val="16"/>
        </w:rPr>
        <w:t xml:space="preserve">adversely </w:t>
      </w:r>
      <w:r w:rsidRPr="00DF7ED9">
        <w:rPr>
          <w:b/>
          <w:bCs/>
          <w:color w:val="auto"/>
          <w:szCs w:val="16"/>
        </w:rPr>
        <w:t>affect your return on the securities and their market value.</w:t>
      </w:r>
      <w:r w:rsidRPr="00DF7ED9">
        <w:rPr>
          <w:color w:val="auto"/>
          <w:szCs w:val="16"/>
        </w:rPr>
        <w:t xml:space="preserve"> We, the </w:t>
      </w:r>
      <w:r w:rsidR="00E9186E" w:rsidRPr="00DF7ED9">
        <w:rPr>
          <w:color w:val="auto"/>
          <w:szCs w:val="16"/>
        </w:rPr>
        <w:t>g</w:t>
      </w:r>
      <w:r w:rsidRPr="00DF7ED9">
        <w:rPr>
          <w:color w:val="auto"/>
          <w:szCs w:val="16"/>
        </w:rPr>
        <w:t xml:space="preserve">uarantor or one or more of our other affiliates, including BofAS, may buy or sell the securities held by or included in the </w:t>
      </w:r>
      <w:r w:rsidR="004B51F0" w:rsidRPr="00DF7ED9">
        <w:rPr>
          <w:color w:val="auto"/>
          <w:szCs w:val="16"/>
        </w:rPr>
        <w:t>underlying index</w:t>
      </w:r>
      <w:r w:rsidRPr="00DF7ED9">
        <w:rPr>
          <w:color w:val="auto"/>
          <w:szCs w:val="16"/>
        </w:rPr>
        <w:t xml:space="preserve">, or futures or options contracts or exchange traded instruments on the </w:t>
      </w:r>
      <w:r w:rsidR="004B51F0" w:rsidRPr="00DF7ED9">
        <w:rPr>
          <w:color w:val="auto"/>
          <w:szCs w:val="16"/>
        </w:rPr>
        <w:t>underlying index</w:t>
      </w:r>
      <w:r w:rsidRPr="00DF7ED9">
        <w:rPr>
          <w:color w:val="auto"/>
          <w:szCs w:val="16"/>
        </w:rPr>
        <w:t xml:space="preserve"> or those securities, or other</w:t>
      </w:r>
      <w:r w:rsidR="00C65D9A">
        <w:rPr>
          <w:color w:val="auto"/>
          <w:szCs w:val="16"/>
        </w:rPr>
        <w:t xml:space="preserve"> listed or over-the-counter derivative</w:t>
      </w:r>
      <w:r w:rsidRPr="00DF7ED9">
        <w:rPr>
          <w:color w:val="auto"/>
          <w:szCs w:val="16"/>
        </w:rPr>
        <w:t xml:space="preserve"> instruments whose value is derived from the </w:t>
      </w:r>
      <w:r w:rsidR="004B51F0" w:rsidRPr="00DF7ED9">
        <w:rPr>
          <w:color w:val="auto"/>
          <w:szCs w:val="16"/>
        </w:rPr>
        <w:t>underlying index</w:t>
      </w:r>
      <w:r w:rsidRPr="00DF7ED9">
        <w:rPr>
          <w:color w:val="auto"/>
          <w:szCs w:val="16"/>
        </w:rPr>
        <w:t xml:space="preserve"> or those securities. While we, the </w:t>
      </w:r>
      <w:r w:rsidR="00E9186E" w:rsidRPr="00DF7ED9">
        <w:rPr>
          <w:color w:val="auto"/>
          <w:szCs w:val="16"/>
        </w:rPr>
        <w:t>g</w:t>
      </w:r>
      <w:r w:rsidRPr="00DF7ED9">
        <w:rPr>
          <w:color w:val="auto"/>
          <w:szCs w:val="16"/>
        </w:rPr>
        <w:t xml:space="preserve">uarantor or one or more of our other affiliates, including BofAS, may from time to time own securities represented by the </w:t>
      </w:r>
      <w:r w:rsidR="004B51F0" w:rsidRPr="00DF7ED9">
        <w:rPr>
          <w:color w:val="auto"/>
          <w:szCs w:val="16"/>
        </w:rPr>
        <w:t>underlying index</w:t>
      </w:r>
      <w:r w:rsidRPr="00DF7ED9">
        <w:rPr>
          <w:color w:val="auto"/>
          <w:szCs w:val="16"/>
        </w:rPr>
        <w:t xml:space="preserve">, except to the extent that BAC’s common stock may be included in the </w:t>
      </w:r>
      <w:r w:rsidR="004B51F0" w:rsidRPr="00DF7ED9">
        <w:rPr>
          <w:color w:val="auto"/>
          <w:szCs w:val="16"/>
        </w:rPr>
        <w:t>underlying index</w:t>
      </w:r>
      <w:r w:rsidRPr="00DF7ED9">
        <w:rPr>
          <w:color w:val="auto"/>
          <w:szCs w:val="16"/>
        </w:rPr>
        <w:t xml:space="preserve">, we, the </w:t>
      </w:r>
      <w:r w:rsidR="00E9186E" w:rsidRPr="00DF7ED9">
        <w:rPr>
          <w:color w:val="auto"/>
          <w:szCs w:val="16"/>
        </w:rPr>
        <w:t>g</w:t>
      </w:r>
      <w:r w:rsidRPr="00DF7ED9">
        <w:rPr>
          <w:color w:val="auto"/>
          <w:szCs w:val="16"/>
        </w:rPr>
        <w:t xml:space="preserve">uarantor and our other affiliates, including BofAS, do not control any company included in the </w:t>
      </w:r>
      <w:r w:rsidR="004B51F0" w:rsidRPr="00DF7ED9">
        <w:rPr>
          <w:color w:val="auto"/>
          <w:szCs w:val="16"/>
        </w:rPr>
        <w:t>underlying index</w:t>
      </w:r>
      <w:r w:rsidRPr="00DF7ED9">
        <w:rPr>
          <w:color w:val="auto"/>
          <w:szCs w:val="16"/>
        </w:rPr>
        <w:t xml:space="preserve">, and have not verified any disclosure made by any other company. We, the </w:t>
      </w:r>
      <w:r w:rsidR="00E9186E" w:rsidRPr="00DF7ED9">
        <w:rPr>
          <w:color w:val="auto"/>
          <w:szCs w:val="16"/>
        </w:rPr>
        <w:t>g</w:t>
      </w:r>
      <w:r w:rsidRPr="00DF7ED9">
        <w:rPr>
          <w:color w:val="auto"/>
          <w:szCs w:val="16"/>
        </w:rPr>
        <w:t xml:space="preserve">uarantor or one or more of our other affiliates, including BofAS, may execute such purchases or sales for our own or their own accounts, for business reasons, or in connection with hedging our obligations under the securities. These transactions may present a conflict of interest between your interest in the securities and the interests we, the </w:t>
      </w:r>
      <w:r w:rsidR="00E9186E" w:rsidRPr="00DF7ED9">
        <w:rPr>
          <w:color w:val="auto"/>
          <w:szCs w:val="16"/>
        </w:rPr>
        <w:t>g</w:t>
      </w:r>
      <w:r w:rsidRPr="00DF7ED9">
        <w:rPr>
          <w:color w:val="auto"/>
          <w:szCs w:val="16"/>
        </w:rPr>
        <w:t xml:space="preserve">uarantor and our other affiliates, including BofAS, may have in our or their proprietary accounts, in facilitating transactions, including block trades, for our or their other customers, and in accounts under our or their management. These transactions may adversely affect the level of the </w:t>
      </w:r>
      <w:r w:rsidR="004B51F0" w:rsidRPr="00DF7ED9">
        <w:rPr>
          <w:color w:val="auto"/>
          <w:szCs w:val="16"/>
        </w:rPr>
        <w:t>underlying index</w:t>
      </w:r>
      <w:r w:rsidRPr="00DF7ED9">
        <w:rPr>
          <w:color w:val="auto"/>
          <w:szCs w:val="16"/>
        </w:rPr>
        <w:t xml:space="preserve"> in a manner that could be adverse to your investment in the securities. On or before the pricing date, any purchases or sales by us, the </w:t>
      </w:r>
      <w:r w:rsidR="00E9186E" w:rsidRPr="00DF7ED9">
        <w:rPr>
          <w:color w:val="auto"/>
          <w:szCs w:val="16"/>
        </w:rPr>
        <w:t>g</w:t>
      </w:r>
      <w:r w:rsidRPr="00DF7ED9">
        <w:rPr>
          <w:color w:val="auto"/>
          <w:szCs w:val="16"/>
        </w:rPr>
        <w:t>uarantor or our other affiliates, including BofAS or others on our or their behalf (including those for the purpose of hedging some or all of our anticipated exposure in connection with the securities), may</w:t>
      </w:r>
      <w:r w:rsidR="006428A2">
        <w:rPr>
          <w:color w:val="auto"/>
          <w:szCs w:val="16"/>
        </w:rPr>
        <w:t xml:space="preserve"> have</w:t>
      </w:r>
      <w:r w:rsidRPr="00DF7ED9">
        <w:rPr>
          <w:color w:val="auto"/>
          <w:szCs w:val="16"/>
        </w:rPr>
        <w:t xml:space="preserve"> </w:t>
      </w:r>
      <w:r w:rsidR="00C65D9A">
        <w:rPr>
          <w:color w:val="auto"/>
          <w:szCs w:val="16"/>
        </w:rPr>
        <w:t xml:space="preserve">adversely </w:t>
      </w:r>
      <w:r w:rsidRPr="00DF7ED9">
        <w:rPr>
          <w:color w:val="auto"/>
          <w:szCs w:val="16"/>
        </w:rPr>
        <w:t>affect</w:t>
      </w:r>
      <w:r w:rsidR="006428A2">
        <w:rPr>
          <w:color w:val="auto"/>
          <w:szCs w:val="16"/>
        </w:rPr>
        <w:t>ed</w:t>
      </w:r>
      <w:r w:rsidRPr="00DF7ED9">
        <w:rPr>
          <w:color w:val="auto"/>
          <w:szCs w:val="16"/>
        </w:rPr>
        <w:t xml:space="preserve"> the level of the </w:t>
      </w:r>
      <w:r w:rsidR="004B51F0" w:rsidRPr="00DF7ED9">
        <w:rPr>
          <w:color w:val="auto"/>
          <w:szCs w:val="16"/>
        </w:rPr>
        <w:t>underlying index</w:t>
      </w:r>
      <w:r w:rsidRPr="00DF7ED9">
        <w:rPr>
          <w:color w:val="auto"/>
          <w:szCs w:val="16"/>
        </w:rPr>
        <w:t xml:space="preserve">. Consequently, the level of the </w:t>
      </w:r>
      <w:r w:rsidR="004B51F0" w:rsidRPr="00DF7ED9">
        <w:rPr>
          <w:color w:val="auto"/>
          <w:szCs w:val="16"/>
        </w:rPr>
        <w:t>underlying index</w:t>
      </w:r>
      <w:r w:rsidRPr="00DF7ED9">
        <w:rPr>
          <w:color w:val="auto"/>
          <w:szCs w:val="16"/>
        </w:rPr>
        <w:t xml:space="preserve"> may change subsequent to the pricing date, which may adversely affect the market value of the securities.</w:t>
      </w:r>
      <w:r w:rsidRPr="00DF7ED9">
        <w:rPr>
          <w:color w:val="auto"/>
          <w:szCs w:val="16"/>
        </w:rPr>
        <w:br/>
      </w:r>
      <w:r w:rsidRPr="00DF7ED9">
        <w:rPr>
          <w:color w:val="auto"/>
          <w:szCs w:val="16"/>
        </w:rPr>
        <w:br/>
        <w:t xml:space="preserve">We, the </w:t>
      </w:r>
      <w:r w:rsidR="00E9186E" w:rsidRPr="00DF7ED9">
        <w:rPr>
          <w:color w:val="auto"/>
          <w:szCs w:val="16"/>
        </w:rPr>
        <w:t>g</w:t>
      </w:r>
      <w:r w:rsidRPr="00DF7ED9">
        <w:rPr>
          <w:color w:val="auto"/>
          <w:szCs w:val="16"/>
        </w:rPr>
        <w:t xml:space="preserve">uarantor or one or more of our other affiliates, including BofAS, also </w:t>
      </w:r>
      <w:r w:rsidR="006428A2">
        <w:rPr>
          <w:color w:val="auto"/>
          <w:szCs w:val="16"/>
        </w:rPr>
        <w:t>may have</w:t>
      </w:r>
      <w:r w:rsidRPr="00DF7ED9">
        <w:rPr>
          <w:color w:val="auto"/>
          <w:szCs w:val="16"/>
        </w:rPr>
        <w:t xml:space="preserve"> engage</w:t>
      </w:r>
      <w:r w:rsidR="006428A2">
        <w:rPr>
          <w:color w:val="auto"/>
          <w:szCs w:val="16"/>
        </w:rPr>
        <w:t>d</w:t>
      </w:r>
      <w:r w:rsidRPr="00DF7ED9">
        <w:rPr>
          <w:color w:val="auto"/>
          <w:szCs w:val="16"/>
        </w:rPr>
        <w:t xml:space="preserve"> in hedging activities that could</w:t>
      </w:r>
      <w:r w:rsidR="006428A2">
        <w:rPr>
          <w:color w:val="auto"/>
          <w:szCs w:val="16"/>
        </w:rPr>
        <w:t xml:space="preserve"> have</w:t>
      </w:r>
      <w:r w:rsidRPr="00DF7ED9">
        <w:rPr>
          <w:color w:val="auto"/>
          <w:szCs w:val="16"/>
        </w:rPr>
        <w:t xml:space="preserve"> </w:t>
      </w:r>
      <w:r w:rsidR="00C65D9A">
        <w:rPr>
          <w:color w:val="auto"/>
          <w:szCs w:val="16"/>
        </w:rPr>
        <w:t xml:space="preserve">adversely </w:t>
      </w:r>
      <w:r w:rsidRPr="00DF7ED9">
        <w:rPr>
          <w:color w:val="auto"/>
          <w:szCs w:val="16"/>
        </w:rPr>
        <w:t>affect</w:t>
      </w:r>
      <w:r w:rsidR="006428A2">
        <w:rPr>
          <w:color w:val="auto"/>
          <w:szCs w:val="16"/>
        </w:rPr>
        <w:t>ed</w:t>
      </w:r>
      <w:r w:rsidRPr="00DF7ED9">
        <w:rPr>
          <w:color w:val="auto"/>
          <w:szCs w:val="16"/>
        </w:rPr>
        <w:t xml:space="preserve"> the level of the </w:t>
      </w:r>
      <w:r w:rsidR="004B51F0" w:rsidRPr="00DF7ED9">
        <w:rPr>
          <w:color w:val="auto"/>
          <w:szCs w:val="16"/>
        </w:rPr>
        <w:t>underlying index</w:t>
      </w:r>
      <w:r w:rsidRPr="00DF7ED9">
        <w:rPr>
          <w:color w:val="auto"/>
          <w:szCs w:val="16"/>
        </w:rPr>
        <w:t xml:space="preserve"> on the pricing date. In addition, these hedging activities, including the unwinding of a hedge, may decrease the market value of your securities prior to maturity, and may</w:t>
      </w:r>
      <w:r w:rsidR="00C65D9A">
        <w:rPr>
          <w:color w:val="auto"/>
          <w:szCs w:val="16"/>
        </w:rPr>
        <w:t xml:space="preserve"> adversely</w:t>
      </w:r>
      <w:r w:rsidRPr="00DF7ED9">
        <w:rPr>
          <w:color w:val="auto"/>
          <w:szCs w:val="16"/>
        </w:rPr>
        <w:t xml:space="preserve"> affect the amounts to be paid on the securities. We, the </w:t>
      </w:r>
      <w:r w:rsidR="00E9186E" w:rsidRPr="00DF7ED9">
        <w:rPr>
          <w:color w:val="auto"/>
          <w:szCs w:val="16"/>
        </w:rPr>
        <w:t>g</w:t>
      </w:r>
      <w:r w:rsidRPr="00DF7ED9">
        <w:rPr>
          <w:color w:val="auto"/>
          <w:szCs w:val="16"/>
        </w:rPr>
        <w:t>uarantor or one or more of our other affiliates, including BofAS, may purchase or otherwise acquire a long or short position in the securities</w:t>
      </w:r>
      <w:r w:rsidR="00C65D9A">
        <w:rPr>
          <w:color w:val="auto"/>
          <w:szCs w:val="16"/>
        </w:rPr>
        <w:t>, the underlying index or the securities represented by the underlying index</w:t>
      </w:r>
      <w:r w:rsidRPr="00DF7ED9">
        <w:rPr>
          <w:color w:val="auto"/>
          <w:szCs w:val="16"/>
        </w:rPr>
        <w:t xml:space="preserve"> and may hold or resell the securities</w:t>
      </w:r>
      <w:r w:rsidR="00C65D9A">
        <w:rPr>
          <w:color w:val="auto"/>
          <w:szCs w:val="16"/>
        </w:rPr>
        <w:t>, the underlying index or the securities represented by the underlying index</w:t>
      </w:r>
      <w:r w:rsidRPr="00DF7ED9">
        <w:rPr>
          <w:color w:val="auto"/>
          <w:szCs w:val="16"/>
        </w:rPr>
        <w:t xml:space="preserve">. For example, BofAS may enter into these transactions in connection with any market making activities in which it engages. We cannot assure you that these activities will not adversely affect the level of the </w:t>
      </w:r>
      <w:r w:rsidR="004B51F0" w:rsidRPr="00DF7ED9">
        <w:rPr>
          <w:color w:val="auto"/>
          <w:szCs w:val="16"/>
        </w:rPr>
        <w:t>underlying index</w:t>
      </w:r>
      <w:r w:rsidRPr="00DF7ED9">
        <w:rPr>
          <w:color w:val="auto"/>
          <w:szCs w:val="16"/>
        </w:rPr>
        <w:t>, the market value of your securities prior to maturity or the amounts payable</w:t>
      </w:r>
      <w:r w:rsidR="00C65D9A">
        <w:rPr>
          <w:color w:val="auto"/>
          <w:szCs w:val="16"/>
        </w:rPr>
        <w:t>, if any,</w:t>
      </w:r>
      <w:r w:rsidRPr="00DF7ED9">
        <w:rPr>
          <w:color w:val="auto"/>
          <w:szCs w:val="16"/>
        </w:rPr>
        <w:t xml:space="preserve"> on the securities.</w:t>
      </w:r>
    </w:p>
    <w:p w14:paraId="2047FFE6" w14:textId="3FAF09C3" w:rsidR="00892B72" w:rsidRPr="00DF7ED9" w:rsidRDefault="00C24AAF" w:rsidP="00892B72">
      <w:pPr>
        <w:pStyle w:val="BulletedListBlueLeftPadNoJustifyListBodyBlackListItem"/>
        <w:numPr>
          <w:ilvl w:val="0"/>
          <w:numId w:val="13"/>
        </w:numPr>
        <w:rPr>
          <w:color w:val="auto"/>
          <w:szCs w:val="16"/>
        </w:rPr>
      </w:pPr>
      <w:r w:rsidRPr="00DF7ED9">
        <w:rPr>
          <w:b/>
          <w:bCs/>
          <w:color w:val="auto"/>
          <w:szCs w:val="16"/>
        </w:rPr>
        <w:t>There may be potential conflicts of interest involving the calculation agent, which is an affiliate of ours.</w:t>
      </w:r>
      <w:r w:rsidRPr="00DF7ED9">
        <w:rPr>
          <w:color w:val="auto"/>
          <w:szCs w:val="16"/>
        </w:rPr>
        <w:t xml:space="preserve"> We have the right to appoint and remove the calculation agent. One of our affiliates will be the calculation agent for the securities and, as such, will make a variety of determinations relating to the securities, including the amounts that will be paid on the securities. Under some circumstances, these duties could result in a conflict of interest between its status as our affiliate and its responsibilities as calculation agent. </w:t>
      </w:r>
    </w:p>
    <w:p w14:paraId="3916538F" w14:textId="77777777" w:rsidR="002C1FDB" w:rsidRPr="00DF7ED9" w:rsidRDefault="002C1FDB" w:rsidP="002C1FDB">
      <w:pPr>
        <w:pStyle w:val="BulletedListBlueLeftPadNoJustifyListBodyBlackListItem"/>
        <w:ind w:left="360"/>
        <w:rPr>
          <w:color w:val="auto"/>
          <w:szCs w:val="16"/>
        </w:rPr>
      </w:pPr>
    </w:p>
    <w:p w14:paraId="0530D6F3" w14:textId="77777777" w:rsidR="00892B72" w:rsidRPr="00DF7ED9" w:rsidRDefault="00C24AAF" w:rsidP="00892B72">
      <w:pPr>
        <w:spacing w:after="220" w:line="288" w:lineRule="atLeast"/>
        <w:ind w:left="792" w:right="792" w:hanging="792"/>
        <w:rPr>
          <w:rFonts w:ascii="Arial" w:eastAsia="Arial" w:hAnsi="Arial" w:cs="Arial"/>
          <w:b/>
          <w:bCs/>
          <w:color w:val="296DC1"/>
          <w:sz w:val="16"/>
          <w:szCs w:val="16"/>
          <w:u w:val="single"/>
        </w:rPr>
      </w:pPr>
      <w:r w:rsidRPr="00DF7ED9">
        <w:rPr>
          <w:rFonts w:ascii="Arial" w:eastAsia="Arial" w:hAnsi="Arial" w:cs="Arial"/>
          <w:b/>
          <w:bCs/>
          <w:color w:val="296DC1"/>
          <w:sz w:val="16"/>
          <w:szCs w:val="16"/>
          <w:u w:val="single"/>
        </w:rPr>
        <w:lastRenderedPageBreak/>
        <w:t>Underlying I</w:t>
      </w:r>
      <w:r w:rsidR="004B51F0" w:rsidRPr="00DF7ED9">
        <w:rPr>
          <w:rFonts w:ascii="Arial" w:eastAsia="Arial" w:hAnsi="Arial" w:cs="Arial"/>
          <w:b/>
          <w:bCs/>
          <w:color w:val="296DC1"/>
          <w:sz w:val="16"/>
          <w:szCs w:val="16"/>
          <w:u w:val="single"/>
        </w:rPr>
        <w:t>ndex</w:t>
      </w:r>
      <w:r w:rsidRPr="00DF7ED9">
        <w:rPr>
          <w:rFonts w:ascii="Arial" w:eastAsia="Arial" w:hAnsi="Arial" w:cs="Arial"/>
          <w:b/>
          <w:bCs/>
          <w:color w:val="296DC1"/>
          <w:sz w:val="16"/>
          <w:szCs w:val="16"/>
          <w:u w:val="single"/>
        </w:rPr>
        <w:t>-related Risks</w:t>
      </w:r>
    </w:p>
    <w:p w14:paraId="13F57226" w14:textId="77777777" w:rsidR="00892B72" w:rsidRPr="00DF7ED9" w:rsidRDefault="00C24AAF" w:rsidP="00281FAB">
      <w:pPr>
        <w:pStyle w:val="BulletedListBlueLeftPadNoJustifyListBodyBlackListItem"/>
        <w:numPr>
          <w:ilvl w:val="0"/>
          <w:numId w:val="14"/>
        </w:numPr>
        <w:autoSpaceDE w:val="0"/>
        <w:autoSpaceDN w:val="0"/>
        <w:adjustRightInd w:val="0"/>
        <w:rPr>
          <w:color w:val="auto"/>
          <w:szCs w:val="16"/>
        </w:rPr>
      </w:pPr>
      <w:r w:rsidRPr="00DF7ED9">
        <w:rPr>
          <w:b/>
          <w:bCs/>
          <w:color w:val="auto"/>
          <w:szCs w:val="16"/>
        </w:rPr>
        <w:t xml:space="preserve">The publisher of the </w:t>
      </w:r>
      <w:r w:rsidR="004B51F0" w:rsidRPr="00DF7ED9">
        <w:rPr>
          <w:b/>
          <w:bCs/>
          <w:color w:val="auto"/>
          <w:szCs w:val="16"/>
        </w:rPr>
        <w:t>underlying index</w:t>
      </w:r>
      <w:r w:rsidRPr="00DF7ED9">
        <w:rPr>
          <w:b/>
          <w:bCs/>
          <w:color w:val="auto"/>
          <w:szCs w:val="16"/>
        </w:rPr>
        <w:t xml:space="preserve"> may adjust the </w:t>
      </w:r>
      <w:r w:rsidR="004B51F0" w:rsidRPr="00DF7ED9">
        <w:rPr>
          <w:b/>
          <w:bCs/>
          <w:color w:val="auto"/>
          <w:szCs w:val="16"/>
        </w:rPr>
        <w:t>underlying index</w:t>
      </w:r>
      <w:r w:rsidRPr="00DF7ED9">
        <w:rPr>
          <w:b/>
          <w:bCs/>
          <w:color w:val="auto"/>
          <w:szCs w:val="16"/>
        </w:rPr>
        <w:t xml:space="preserve"> in a way that affects its levels, and the publisher has no obligation to consider your interests.</w:t>
      </w:r>
      <w:r w:rsidRPr="00DF7ED9">
        <w:rPr>
          <w:color w:val="auto"/>
          <w:szCs w:val="16"/>
        </w:rPr>
        <w:t xml:space="preserve"> The publisher of the </w:t>
      </w:r>
      <w:r w:rsidR="004B51F0" w:rsidRPr="00DF7ED9">
        <w:rPr>
          <w:color w:val="auto"/>
          <w:szCs w:val="16"/>
        </w:rPr>
        <w:t>underlying index</w:t>
      </w:r>
      <w:r w:rsidRPr="00DF7ED9">
        <w:rPr>
          <w:color w:val="auto"/>
          <w:szCs w:val="16"/>
        </w:rPr>
        <w:t xml:space="preserve"> can add, delete, or substitute the components included in the </w:t>
      </w:r>
      <w:r w:rsidR="004B51F0" w:rsidRPr="00DF7ED9">
        <w:rPr>
          <w:color w:val="auto"/>
          <w:szCs w:val="16"/>
        </w:rPr>
        <w:t>underlying index</w:t>
      </w:r>
      <w:r w:rsidRPr="00DF7ED9">
        <w:rPr>
          <w:color w:val="auto"/>
          <w:szCs w:val="16"/>
        </w:rPr>
        <w:t xml:space="preserve"> or make other methodological changes that could change its level. Any of these actions could adversely affect the value of your securities.</w:t>
      </w:r>
    </w:p>
    <w:p w14:paraId="4A28C9E3" w14:textId="77777777" w:rsidR="00CF68CB" w:rsidRPr="00DF7ED9" w:rsidRDefault="00CF68CB" w:rsidP="00CF68CB">
      <w:pPr>
        <w:pStyle w:val="BulletedListBlueLeftPadNoJustifyListBodyBlackListItem"/>
        <w:ind w:left="360"/>
        <w:rPr>
          <w:color w:val="auto"/>
          <w:szCs w:val="16"/>
        </w:rPr>
      </w:pPr>
    </w:p>
    <w:p w14:paraId="19D5D824" w14:textId="77777777" w:rsidR="00892B72" w:rsidRPr="00DF7ED9" w:rsidRDefault="00C24AAF" w:rsidP="00892B72">
      <w:pPr>
        <w:spacing w:after="220" w:line="288" w:lineRule="atLeast"/>
        <w:ind w:left="792" w:right="792" w:hanging="792"/>
        <w:rPr>
          <w:rFonts w:ascii="Arial" w:eastAsia="Arial" w:hAnsi="Arial" w:cs="Arial"/>
          <w:b/>
          <w:bCs/>
          <w:color w:val="296DC1"/>
          <w:sz w:val="16"/>
          <w:szCs w:val="16"/>
          <w:u w:val="single"/>
        </w:rPr>
      </w:pPr>
      <w:r w:rsidRPr="00DF7ED9">
        <w:rPr>
          <w:rFonts w:ascii="Arial" w:eastAsia="Arial" w:hAnsi="Arial" w:cs="Arial"/>
          <w:b/>
          <w:bCs/>
          <w:color w:val="296DC1"/>
          <w:sz w:val="16"/>
          <w:szCs w:val="16"/>
          <w:u w:val="single"/>
        </w:rPr>
        <w:t>Tax-related Risks</w:t>
      </w:r>
    </w:p>
    <w:p w14:paraId="3BD1AC47" w14:textId="4DBA87EC" w:rsidR="00892B72" w:rsidRPr="00DF7ED9" w:rsidRDefault="00C24AAF" w:rsidP="00892B72">
      <w:pPr>
        <w:pStyle w:val="BulletedListBlueLeftPadNoJustifyListBodyBlackListItem"/>
        <w:numPr>
          <w:ilvl w:val="0"/>
          <w:numId w:val="15"/>
        </w:numPr>
        <w:rPr>
          <w:color w:val="auto"/>
          <w:szCs w:val="16"/>
        </w:rPr>
      </w:pPr>
      <w:r w:rsidRPr="00DF7ED9">
        <w:rPr>
          <w:b/>
          <w:bCs/>
          <w:color w:val="auto"/>
          <w:szCs w:val="16"/>
        </w:rPr>
        <w:t xml:space="preserve">The U.S. federal income tax consequences of an investment in the securities are uncertain, and may be adverse to a holder of the securities. </w:t>
      </w:r>
      <w:r w:rsidRPr="00DF7ED9">
        <w:rPr>
          <w:color w:val="auto"/>
          <w:szCs w:val="16"/>
        </w:rPr>
        <w:t>No statutory, judicial, or administrative authority directly addresses the characterization of the securities or securities similar to the securities for U.S. federal income tax purposes.  As a result, significant aspects of the U.S. federal income tax consequences of an investment in the securities are not certain. Under the terms of the securities, you will have agreed with us to treat the securities as contingent income-bearing single financial contracts, as described below under “</w:t>
      </w:r>
      <w:r w:rsidR="004D3288" w:rsidRPr="00DF7ED9">
        <w:rPr>
          <w:color w:val="auto"/>
          <w:szCs w:val="16"/>
        </w:rPr>
        <w:t xml:space="preserve">Additional Information About the Securities—Tax </w:t>
      </w:r>
      <w:r w:rsidR="00596108" w:rsidRPr="00DF7ED9">
        <w:rPr>
          <w:color w:val="auto"/>
          <w:szCs w:val="16"/>
        </w:rPr>
        <w:t>c</w:t>
      </w:r>
      <w:r w:rsidR="004D3288" w:rsidRPr="00DF7ED9">
        <w:rPr>
          <w:color w:val="auto"/>
          <w:szCs w:val="16"/>
        </w:rPr>
        <w:t>onsiderations</w:t>
      </w:r>
      <w:r w:rsidRPr="00DF7ED9">
        <w:rPr>
          <w:color w:val="auto"/>
          <w:szCs w:val="16"/>
        </w:rPr>
        <w:t>—General.” If the Internal Revenue Service (the “IRS”) were successful in asserting an alternative characterization for the securities, the timing and character of income, gain or loss with respect to the securities may differ. No ruling will be requested from the IRS with respect to the securities and no assurance can be given that the IRS will agree with the statements made in the section entitled “</w:t>
      </w:r>
      <w:r w:rsidR="004D3288" w:rsidRPr="00DF7ED9">
        <w:rPr>
          <w:color w:val="auto"/>
          <w:szCs w:val="16"/>
        </w:rPr>
        <w:t xml:space="preserve">Additional Information About the Securities—Tax </w:t>
      </w:r>
      <w:r w:rsidR="00596108" w:rsidRPr="00DF7ED9">
        <w:rPr>
          <w:color w:val="auto"/>
          <w:szCs w:val="16"/>
        </w:rPr>
        <w:t>c</w:t>
      </w:r>
      <w:r w:rsidR="004D3288" w:rsidRPr="00DF7ED9">
        <w:rPr>
          <w:color w:val="auto"/>
          <w:szCs w:val="16"/>
        </w:rPr>
        <w:t>onsiderations</w:t>
      </w:r>
      <w:r w:rsidRPr="00DF7ED9">
        <w:rPr>
          <w:color w:val="auto"/>
          <w:szCs w:val="16"/>
        </w:rPr>
        <w:t xml:space="preserve">.” </w:t>
      </w:r>
      <w:r w:rsidRPr="00DF7ED9">
        <w:rPr>
          <w:b/>
          <w:bCs/>
          <w:color w:val="auto"/>
          <w:szCs w:val="16"/>
        </w:rPr>
        <w:t>You are urged to consult with your own tax advisor regarding all aspects of the U.S. federal income tax consequences of investing in the securities.</w:t>
      </w:r>
    </w:p>
    <w:p w14:paraId="75CAF967" w14:textId="77777777" w:rsidR="002C6D14" w:rsidRPr="00DF7ED9" w:rsidRDefault="002C6D14">
      <w:pPr>
        <w:pBdr>
          <w:left w:val="none" w:sz="0" w:space="31" w:color="auto"/>
          <w:bottom w:val="none" w:sz="0" w:space="10" w:color="auto"/>
          <w:right w:val="none" w:sz="0" w:space="31" w:color="auto"/>
        </w:pBdr>
        <w:spacing w:before="22"/>
        <w:ind w:left="792" w:right="792"/>
        <w:rPr>
          <w:sz w:val="20"/>
          <w:szCs w:val="20"/>
        </w:rPr>
      </w:pPr>
    </w:p>
    <w:p w14:paraId="06CEEDEA" w14:textId="77777777" w:rsidR="002C6D14" w:rsidRPr="00DF7ED9" w:rsidRDefault="002C6D14">
      <w:pPr>
        <w:pBdr>
          <w:bottom w:val="single" w:sz="8" w:space="0" w:color="000000"/>
        </w:pBdr>
        <w:spacing w:before="240" w:after="240"/>
        <w:sectPr w:rsidR="002C6D14" w:rsidRPr="00DF7ED9" w:rsidSect="00371BFB">
          <w:pgSz w:w="12240" w:h="15840"/>
          <w:pgMar w:top="288" w:right="288" w:bottom="288" w:left="288" w:header="720" w:footer="720" w:gutter="0"/>
          <w:cols w:space="720"/>
        </w:sectPr>
      </w:pPr>
    </w:p>
    <w:p w14:paraId="4B89E979" w14:textId="77777777" w:rsidR="002C6D14" w:rsidRPr="00DF7ED9" w:rsidRDefault="00C24AAF" w:rsidP="00CF68CB">
      <w:pPr>
        <w:spacing w:before="176" w:after="88"/>
        <w:ind w:right="-36"/>
        <w:rPr>
          <w:sz w:val="28"/>
          <w:szCs w:val="28"/>
        </w:rPr>
      </w:pPr>
      <w:r w:rsidRPr="00DF7ED9">
        <w:rPr>
          <w:rFonts w:ascii="Arial" w:eastAsia="Arial" w:hAnsi="Arial" w:cs="Arial"/>
          <w:color w:val="296DC1"/>
          <w:sz w:val="28"/>
          <w:szCs w:val="28"/>
        </w:rPr>
        <w:lastRenderedPageBreak/>
        <w:t>S&amp;P 500</w:t>
      </w:r>
      <w:r w:rsidRPr="00DF7ED9">
        <w:rPr>
          <w:rFonts w:ascii="Arial" w:eastAsia="Arial" w:hAnsi="Arial" w:cs="Arial"/>
          <w:color w:val="296DC1"/>
          <w:sz w:val="28"/>
          <w:szCs w:val="28"/>
          <w:vertAlign w:val="superscript"/>
        </w:rPr>
        <w:t>®</w:t>
      </w:r>
      <w:r w:rsidRPr="00DF7ED9">
        <w:rPr>
          <w:rFonts w:ascii="Arial" w:eastAsia="Arial" w:hAnsi="Arial" w:cs="Arial"/>
          <w:color w:val="296DC1"/>
          <w:sz w:val="28"/>
          <w:szCs w:val="28"/>
        </w:rPr>
        <w:t xml:space="preserve"> Index Historical Performance</w:t>
      </w:r>
    </w:p>
    <w:p w14:paraId="04CE9B08" w14:textId="6B7FFC8D" w:rsidR="002C6D14" w:rsidRPr="00DF7ED9" w:rsidRDefault="00FE44B7" w:rsidP="00CF68CB">
      <w:pPr>
        <w:spacing w:after="160"/>
        <w:ind w:right="-43"/>
        <w:rPr>
          <w:sz w:val="16"/>
          <w:szCs w:val="16"/>
        </w:rPr>
      </w:pPr>
      <w:r w:rsidRPr="00FE44B7">
        <w:rPr>
          <w:rFonts w:ascii="Arial" w:eastAsia="Arial" w:hAnsi="Arial" w:cs="Arial"/>
          <w:color w:val="000000"/>
          <w:sz w:val="16"/>
          <w:szCs w:val="16"/>
        </w:rPr>
        <w:t xml:space="preserve">The index closing value of the underlying index on </w:t>
      </w:r>
      <w:r w:rsidR="006428A2">
        <w:rPr>
          <w:rFonts w:ascii="Arial" w:eastAsia="Arial" w:hAnsi="Arial" w:cs="Arial"/>
          <w:color w:val="000000"/>
          <w:sz w:val="16"/>
          <w:szCs w:val="16"/>
        </w:rPr>
        <w:t>the pricing date</w:t>
      </w:r>
      <w:r w:rsidRPr="00FE44B7">
        <w:rPr>
          <w:rFonts w:ascii="Arial" w:eastAsia="Arial" w:hAnsi="Arial" w:cs="Arial"/>
          <w:color w:val="000000"/>
          <w:sz w:val="16"/>
          <w:szCs w:val="16"/>
        </w:rPr>
        <w:t xml:space="preserve"> was </w:t>
      </w:r>
      <w:r w:rsidR="00E958EA">
        <w:rPr>
          <w:rFonts w:ascii="Arial" w:eastAsia="Arial" w:hAnsi="Arial" w:cs="Arial"/>
          <w:color w:val="000000"/>
          <w:sz w:val="16"/>
          <w:szCs w:val="16"/>
        </w:rPr>
        <w:t>6,</w:t>
      </w:r>
      <w:r w:rsidR="006428A2">
        <w:rPr>
          <w:rFonts w:ascii="Arial" w:eastAsia="Arial" w:hAnsi="Arial" w:cs="Arial"/>
          <w:color w:val="000000"/>
          <w:sz w:val="16"/>
          <w:szCs w:val="16"/>
        </w:rPr>
        <w:t>909.51</w:t>
      </w:r>
      <w:r w:rsidRPr="00FE44B7">
        <w:rPr>
          <w:rFonts w:ascii="Arial" w:eastAsia="Arial" w:hAnsi="Arial" w:cs="Arial"/>
          <w:color w:val="000000"/>
          <w:sz w:val="16"/>
          <w:szCs w:val="16"/>
        </w:rPr>
        <w:t>. The following graph sets forth the daily index closing values of the underlying index for the period noted below. We obtained the historical information presented in this document from Bloomberg Financial Markets, without independent verification. The underlying index has at times experienced periods of high volatility. The historical performance of the underlying index should not be taken as an indication of its future performance, and no assurance can be given as to the index closing value of the underlying index at any time.</w:t>
      </w:r>
    </w:p>
    <w:tbl>
      <w:tblPr>
        <w:tblW w:w="9761" w:type="dxa"/>
        <w:jc w:val="center"/>
        <w:tblCellSpacing w:w="0" w:type="dxa"/>
        <w:tblCellMar>
          <w:top w:w="15" w:type="dxa"/>
          <w:left w:w="15" w:type="dxa"/>
          <w:bottom w:w="15" w:type="dxa"/>
          <w:right w:w="15" w:type="dxa"/>
        </w:tblCellMar>
        <w:tblLook w:val="04A0" w:firstRow="1" w:lastRow="0" w:firstColumn="1" w:lastColumn="0" w:noHBand="0" w:noVBand="1"/>
      </w:tblPr>
      <w:tblGrid>
        <w:gridCol w:w="9761"/>
      </w:tblGrid>
      <w:tr w:rsidR="00BD53EC" w:rsidRPr="00DF7ED9" w14:paraId="71CD8F76" w14:textId="77777777">
        <w:trPr>
          <w:cantSplit/>
          <w:tblCellSpacing w:w="0" w:type="dxa"/>
          <w:jc w:val="center"/>
        </w:trPr>
        <w:tc>
          <w:tcPr>
            <w:tcW w:w="9761" w:type="dxa"/>
            <w:tcMar>
              <w:top w:w="0" w:type="dxa"/>
              <w:left w:w="0" w:type="dxa"/>
              <w:bottom w:w="0" w:type="dxa"/>
              <w:right w:w="0" w:type="dxa"/>
            </w:tcMar>
            <w:vAlign w:val="center"/>
            <w:hideMark/>
          </w:tcPr>
          <w:p w14:paraId="051E2DBE" w14:textId="77777777" w:rsidR="002C6D14" w:rsidRPr="00DF7ED9" w:rsidRDefault="00C24AAF">
            <w:pPr>
              <w:rPr>
                <w:color w:val="000000"/>
              </w:rPr>
            </w:pPr>
            <w:r w:rsidRPr="00DF7ED9">
              <w:rPr>
                <w:rFonts w:ascii="Arial" w:eastAsia="Arial" w:hAnsi="Arial" w:cs="Arial"/>
                <w:color w:val="000000"/>
                <w:sz w:val="19"/>
                <w:szCs w:val="19"/>
              </w:rPr>
              <w:t> </w:t>
            </w:r>
          </w:p>
        </w:tc>
      </w:tr>
      <w:tr w:rsidR="00BD53EC" w:rsidRPr="00DF7ED9" w14:paraId="5EA56203" w14:textId="77777777">
        <w:trPr>
          <w:cantSplit/>
          <w:tblCellSpacing w:w="0" w:type="dxa"/>
          <w:jc w:val="center"/>
        </w:trPr>
        <w:tc>
          <w:tcPr>
            <w:tcW w:w="0" w:type="auto"/>
            <w:shd w:val="clear" w:color="auto" w:fill="DCEBF4"/>
            <w:tcMar>
              <w:top w:w="0" w:type="dxa"/>
              <w:left w:w="119" w:type="dxa"/>
              <w:bottom w:w="0" w:type="dxa"/>
              <w:right w:w="119" w:type="dxa"/>
            </w:tcMar>
            <w:hideMark/>
          </w:tcPr>
          <w:p w14:paraId="76059FF8" w14:textId="0BE30A9F" w:rsidR="002C6D14" w:rsidRPr="00DF7ED9" w:rsidRDefault="00C24AAF">
            <w:pPr>
              <w:spacing w:before="22" w:after="22" w:line="160" w:lineRule="atLeast"/>
              <w:ind w:left="-32"/>
              <w:jc w:val="center"/>
              <w:rPr>
                <w:color w:val="000000"/>
              </w:rPr>
            </w:pPr>
            <w:r w:rsidRPr="00DF7ED9">
              <w:rPr>
                <w:rFonts w:ascii="Arial" w:eastAsia="Arial" w:hAnsi="Arial" w:cs="Arial"/>
                <w:b/>
                <w:bCs/>
                <w:color w:val="296DC1"/>
                <w:sz w:val="16"/>
                <w:szCs w:val="16"/>
              </w:rPr>
              <w:t>Underlying Index</w:t>
            </w:r>
            <w:r w:rsidR="003F76B8" w:rsidRPr="00DF7ED9">
              <w:rPr>
                <w:rFonts w:ascii="Arial" w:eastAsia="Arial" w:hAnsi="Arial" w:cs="Arial"/>
                <w:b/>
                <w:bCs/>
                <w:color w:val="296DC1"/>
                <w:sz w:val="16"/>
                <w:szCs w:val="16"/>
              </w:rPr>
              <w:t xml:space="preserve"> Daily </w:t>
            </w:r>
            <w:r w:rsidR="00E525DD">
              <w:rPr>
                <w:rFonts w:ascii="Arial" w:eastAsia="Arial" w:hAnsi="Arial" w:cs="Arial"/>
                <w:b/>
                <w:bCs/>
                <w:color w:val="296DC1"/>
                <w:sz w:val="16"/>
                <w:szCs w:val="16"/>
              </w:rPr>
              <w:t xml:space="preserve">Index </w:t>
            </w:r>
            <w:r w:rsidR="003F76B8" w:rsidRPr="00DF7ED9">
              <w:rPr>
                <w:rFonts w:ascii="Arial" w:eastAsia="Arial" w:hAnsi="Arial" w:cs="Arial"/>
                <w:b/>
                <w:bCs/>
                <w:color w:val="296DC1"/>
                <w:sz w:val="16"/>
                <w:szCs w:val="16"/>
              </w:rPr>
              <w:t xml:space="preserve">Closing Values </w:t>
            </w:r>
          </w:p>
          <w:p w14:paraId="50D6E1E8" w14:textId="5FD65C7B" w:rsidR="002C6D14" w:rsidRPr="00DF7ED9" w:rsidRDefault="005871EB">
            <w:pPr>
              <w:spacing w:before="22" w:after="22" w:line="160" w:lineRule="atLeast"/>
              <w:ind w:left="-32"/>
              <w:jc w:val="center"/>
              <w:rPr>
                <w:color w:val="000000"/>
              </w:rPr>
            </w:pPr>
            <w:r w:rsidRPr="00DF7ED9">
              <w:rPr>
                <w:rFonts w:ascii="Arial" w:eastAsia="Arial" w:hAnsi="Arial" w:cs="Arial"/>
                <w:b/>
                <w:bCs/>
                <w:color w:val="296DC1"/>
                <w:sz w:val="16"/>
                <w:szCs w:val="16"/>
              </w:rPr>
              <w:t xml:space="preserve">January 2, </w:t>
            </w:r>
            <w:r w:rsidR="006F0564">
              <w:rPr>
                <w:rFonts w:ascii="Arial" w:eastAsia="Arial" w:hAnsi="Arial" w:cs="Arial"/>
                <w:b/>
                <w:bCs/>
                <w:color w:val="296DC1"/>
                <w:sz w:val="16"/>
                <w:szCs w:val="16"/>
              </w:rPr>
              <w:t>202</w:t>
            </w:r>
            <w:r w:rsidR="00192BF0">
              <w:rPr>
                <w:rFonts w:ascii="Arial" w:eastAsia="Arial" w:hAnsi="Arial" w:cs="Arial"/>
                <w:b/>
                <w:bCs/>
                <w:color w:val="296DC1"/>
                <w:sz w:val="16"/>
                <w:szCs w:val="16"/>
              </w:rPr>
              <w:t>1</w:t>
            </w:r>
            <w:r w:rsidR="00C24AAF" w:rsidRPr="00DF7ED9">
              <w:rPr>
                <w:rFonts w:ascii="Arial" w:eastAsia="Arial" w:hAnsi="Arial" w:cs="Arial"/>
                <w:b/>
                <w:bCs/>
                <w:color w:val="296DC1"/>
                <w:sz w:val="16"/>
                <w:szCs w:val="16"/>
              </w:rPr>
              <w:t xml:space="preserve"> to </w:t>
            </w:r>
            <w:r w:rsidR="00E958EA">
              <w:rPr>
                <w:rFonts w:ascii="Arial" w:eastAsia="Arial" w:hAnsi="Arial" w:cs="Arial"/>
                <w:b/>
                <w:bCs/>
                <w:color w:val="296DC1"/>
                <w:sz w:val="16"/>
                <w:szCs w:val="16"/>
              </w:rPr>
              <w:t xml:space="preserve">February </w:t>
            </w:r>
            <w:r w:rsidR="006428A2">
              <w:rPr>
                <w:rFonts w:ascii="Arial" w:eastAsia="Arial" w:hAnsi="Arial" w:cs="Arial"/>
                <w:b/>
                <w:bCs/>
                <w:color w:val="296DC1"/>
                <w:sz w:val="16"/>
                <w:szCs w:val="16"/>
              </w:rPr>
              <w:t>20</w:t>
            </w:r>
            <w:r w:rsidR="00376291">
              <w:rPr>
                <w:rFonts w:ascii="Arial" w:eastAsia="Arial" w:hAnsi="Arial" w:cs="Arial"/>
                <w:b/>
                <w:bCs/>
                <w:color w:val="296DC1"/>
                <w:sz w:val="16"/>
                <w:szCs w:val="16"/>
              </w:rPr>
              <w:t>, 2026</w:t>
            </w:r>
          </w:p>
        </w:tc>
      </w:tr>
      <w:tr w:rsidR="00BD53EC" w:rsidRPr="00DF7ED9" w14:paraId="725E0927" w14:textId="77777777">
        <w:trPr>
          <w:cantSplit/>
          <w:tblCellSpacing w:w="0" w:type="dxa"/>
          <w:jc w:val="center"/>
        </w:trPr>
        <w:tc>
          <w:tcPr>
            <w:tcW w:w="0" w:type="auto"/>
            <w:shd w:val="clear" w:color="auto" w:fill="FFFFFF"/>
            <w:tcMar>
              <w:top w:w="0" w:type="dxa"/>
              <w:left w:w="119" w:type="dxa"/>
              <w:bottom w:w="0" w:type="dxa"/>
              <w:right w:w="119" w:type="dxa"/>
            </w:tcMar>
            <w:vAlign w:val="center"/>
            <w:hideMark/>
          </w:tcPr>
          <w:p w14:paraId="09ADFA0A" w14:textId="68BA4831" w:rsidR="002C6D14" w:rsidRPr="00DF7ED9" w:rsidRDefault="006428A2">
            <w:pPr>
              <w:pBdr>
                <w:left w:val="none" w:sz="0" w:space="3" w:color="auto"/>
              </w:pBdr>
              <w:spacing w:line="288" w:lineRule="atLeast"/>
              <w:ind w:left="79" w:hanging="79"/>
              <w:jc w:val="center"/>
              <w:rPr>
                <w:color w:val="000000"/>
              </w:rPr>
            </w:pPr>
            <w:r>
              <w:rPr>
                <w:noProof/>
                <w:sz w:val="16"/>
              </w:rPr>
              <w:drawing>
                <wp:inline distT="0" distB="0" distL="0" distR="0" wp14:anchorId="4D70707E" wp14:editId="6A84961D">
                  <wp:extent cx="4570000" cy="1998613"/>
                  <wp:effectExtent l="0" t="0" r="2540" b="1905"/>
                  <wp:docPr id="120939932" name="Picture 120939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9932" name="Picture 120939932"/>
                          <pic:cNvPicPr/>
                        </pic:nvPicPr>
                        <pic:blipFill>
                          <a:blip r:embed="rId16">
                            <a:extLst>
                              <a:ext uri="{28A0092B-C50C-407E-A947-70E740481C1C}">
                                <a14:useLocalDpi xmlns:a14="http://schemas.microsoft.com/office/drawing/2010/main" val="0"/>
                              </a:ext>
                            </a:extLst>
                          </a:blip>
                          <a:stretch>
                            <a:fillRect/>
                          </a:stretch>
                        </pic:blipFill>
                        <pic:spPr>
                          <a:xfrm>
                            <a:off x="0" y="0"/>
                            <a:ext cx="4570000" cy="1998613"/>
                          </a:xfrm>
                          <a:prstGeom prst="rect">
                            <a:avLst/>
                          </a:prstGeom>
                        </pic:spPr>
                      </pic:pic>
                    </a:graphicData>
                  </a:graphic>
                </wp:inline>
              </w:drawing>
            </w:r>
          </w:p>
        </w:tc>
      </w:tr>
      <w:tr w:rsidR="00BD53EC" w:rsidRPr="00DF7ED9" w14:paraId="2A2A91F5" w14:textId="77777777">
        <w:trPr>
          <w:cantSplit/>
          <w:tblCellSpacing w:w="0" w:type="dxa"/>
          <w:jc w:val="center"/>
        </w:trPr>
        <w:tc>
          <w:tcPr>
            <w:tcW w:w="0" w:type="auto"/>
            <w:shd w:val="clear" w:color="auto" w:fill="FFFFFF"/>
            <w:tcMar>
              <w:top w:w="0" w:type="dxa"/>
              <w:left w:w="119" w:type="dxa"/>
              <w:bottom w:w="0" w:type="dxa"/>
              <w:right w:w="119" w:type="dxa"/>
            </w:tcMar>
            <w:vAlign w:val="center"/>
            <w:hideMark/>
          </w:tcPr>
          <w:p w14:paraId="1C920DDD" w14:textId="1F2BC2D0" w:rsidR="002C6D14" w:rsidRPr="00DF7ED9" w:rsidRDefault="00C24AAF">
            <w:pPr>
              <w:spacing w:before="132" w:after="132" w:line="220" w:lineRule="atLeast"/>
              <w:rPr>
                <w:i/>
                <w:iCs/>
                <w:color w:val="000000"/>
                <w:sz w:val="16"/>
                <w:szCs w:val="16"/>
              </w:rPr>
            </w:pPr>
            <w:r w:rsidRPr="00DF7ED9">
              <w:rPr>
                <w:rFonts w:ascii="Arial" w:eastAsia="Arial" w:hAnsi="Arial" w:cs="Arial"/>
                <w:i/>
                <w:iCs/>
                <w:color w:val="000000"/>
                <w:sz w:val="16"/>
                <w:szCs w:val="16"/>
              </w:rPr>
              <w:t>* The</w:t>
            </w:r>
            <w:r w:rsidR="00036EE6" w:rsidRPr="00DF7ED9">
              <w:rPr>
                <w:rFonts w:ascii="Arial" w:eastAsia="Arial" w:hAnsi="Arial" w:cs="Arial"/>
                <w:i/>
                <w:iCs/>
                <w:color w:val="000000"/>
                <w:sz w:val="16"/>
                <w:szCs w:val="16"/>
              </w:rPr>
              <w:t xml:space="preserve"> gray </w:t>
            </w:r>
            <w:r w:rsidRPr="00DF7ED9">
              <w:rPr>
                <w:rFonts w:ascii="Arial" w:eastAsia="Arial" w:hAnsi="Arial" w:cs="Arial"/>
                <w:i/>
                <w:iCs/>
                <w:color w:val="000000"/>
                <w:sz w:val="16"/>
                <w:szCs w:val="16"/>
              </w:rPr>
              <w:t>solid line indicates both the coupon barrier level and the</w:t>
            </w:r>
            <w:r w:rsidR="00596108" w:rsidRPr="00DF7ED9">
              <w:rPr>
                <w:rFonts w:ascii="Arial" w:eastAsia="Arial" w:hAnsi="Arial" w:cs="Arial"/>
                <w:i/>
                <w:iCs/>
                <w:color w:val="000000"/>
                <w:sz w:val="16"/>
                <w:szCs w:val="16"/>
              </w:rPr>
              <w:t xml:space="preserve"> </w:t>
            </w:r>
            <w:r w:rsidRPr="00DF7ED9">
              <w:rPr>
                <w:rFonts w:ascii="Arial" w:eastAsia="Arial" w:hAnsi="Arial" w:cs="Arial"/>
                <w:i/>
                <w:iCs/>
                <w:color w:val="000000"/>
                <w:sz w:val="16"/>
                <w:szCs w:val="16"/>
              </w:rPr>
              <w:t xml:space="preserve">downside threshold level, each of which is </w:t>
            </w:r>
            <w:r w:rsidR="00B66851" w:rsidRPr="00DF7ED9">
              <w:rPr>
                <w:rFonts w:ascii="Arial" w:eastAsia="Arial" w:hAnsi="Arial" w:cs="Arial"/>
                <w:i/>
                <w:iCs/>
                <w:color w:val="000000"/>
                <w:sz w:val="16"/>
                <w:szCs w:val="16"/>
              </w:rPr>
              <w:t>80</w:t>
            </w:r>
            <w:r w:rsidR="00D56F33" w:rsidRPr="00DF7ED9">
              <w:rPr>
                <w:rFonts w:ascii="Arial" w:eastAsia="Arial" w:hAnsi="Arial" w:cs="Arial"/>
                <w:i/>
                <w:iCs/>
                <w:color w:val="000000"/>
                <w:sz w:val="16"/>
                <w:szCs w:val="16"/>
              </w:rPr>
              <w:t>%</w:t>
            </w:r>
            <w:r w:rsidRPr="00DF7ED9">
              <w:rPr>
                <w:rFonts w:ascii="Arial" w:eastAsia="Arial" w:hAnsi="Arial" w:cs="Arial"/>
                <w:i/>
                <w:iCs/>
                <w:color w:val="000000"/>
                <w:sz w:val="16"/>
                <w:szCs w:val="16"/>
              </w:rPr>
              <w:t xml:space="preserve"> of the</w:t>
            </w:r>
            <w:r w:rsidR="00596108" w:rsidRPr="00DF7ED9">
              <w:rPr>
                <w:rFonts w:ascii="Arial" w:eastAsia="Arial" w:hAnsi="Arial" w:cs="Arial"/>
                <w:i/>
                <w:iCs/>
                <w:color w:val="000000"/>
                <w:sz w:val="16"/>
                <w:szCs w:val="16"/>
              </w:rPr>
              <w:t xml:space="preserve"> </w:t>
            </w:r>
            <w:r w:rsidR="00B07BDF" w:rsidRPr="00DF7ED9">
              <w:rPr>
                <w:rFonts w:ascii="Arial" w:eastAsia="Arial" w:hAnsi="Arial" w:cs="Arial"/>
                <w:i/>
                <w:iCs/>
                <w:color w:val="000000"/>
                <w:sz w:val="16"/>
                <w:szCs w:val="16"/>
              </w:rPr>
              <w:t>initial index value</w:t>
            </w:r>
            <w:r w:rsidR="005627C4" w:rsidRPr="00DF7ED9">
              <w:rPr>
                <w:rFonts w:ascii="Arial" w:eastAsia="Arial" w:hAnsi="Arial" w:cs="Arial"/>
                <w:i/>
                <w:iCs/>
                <w:color w:val="000000"/>
                <w:sz w:val="16"/>
                <w:szCs w:val="16"/>
              </w:rPr>
              <w:t>.</w:t>
            </w:r>
          </w:p>
        </w:tc>
      </w:tr>
    </w:tbl>
    <w:p w14:paraId="3E2E2019" w14:textId="77777777" w:rsidR="002C6D14" w:rsidRPr="00DF7ED9" w:rsidRDefault="002C6D14">
      <w:pPr>
        <w:pBdr>
          <w:bottom w:val="single" w:sz="8" w:space="0" w:color="000000"/>
        </w:pBdr>
        <w:spacing w:before="240" w:after="240"/>
        <w:sectPr w:rsidR="002C6D14" w:rsidRPr="00DF7ED9" w:rsidSect="00371BFB">
          <w:pgSz w:w="12240" w:h="15840"/>
          <w:pgMar w:top="288" w:right="288" w:bottom="288" w:left="288" w:header="720" w:footer="720" w:gutter="0"/>
          <w:cols w:space="720"/>
        </w:sectPr>
      </w:pPr>
    </w:p>
    <w:p w14:paraId="7DE48FFA" w14:textId="77777777" w:rsidR="002C6D14" w:rsidRPr="00DF7ED9" w:rsidRDefault="00C24AAF" w:rsidP="00CF68CB">
      <w:pPr>
        <w:spacing w:after="160"/>
        <w:ind w:right="-43"/>
        <w:rPr>
          <w:sz w:val="28"/>
          <w:szCs w:val="28"/>
        </w:rPr>
      </w:pPr>
      <w:r w:rsidRPr="00DF7ED9">
        <w:rPr>
          <w:rFonts w:ascii="Arial" w:eastAsia="Arial" w:hAnsi="Arial" w:cs="Arial"/>
          <w:color w:val="296DC1"/>
          <w:sz w:val="28"/>
          <w:szCs w:val="28"/>
        </w:rPr>
        <w:lastRenderedPageBreak/>
        <w:t>Additional Terms of the Securities</w:t>
      </w:r>
    </w:p>
    <w:p w14:paraId="44746D2B" w14:textId="77777777" w:rsidR="002C6D14" w:rsidRPr="00DF7ED9" w:rsidRDefault="00C24AAF" w:rsidP="00CF68CB">
      <w:pPr>
        <w:spacing w:after="160"/>
        <w:ind w:right="-43"/>
        <w:rPr>
          <w:sz w:val="16"/>
          <w:szCs w:val="16"/>
        </w:rPr>
      </w:pPr>
      <w:r w:rsidRPr="00DF7ED9">
        <w:rPr>
          <w:rFonts w:ascii="Arial" w:eastAsia="Arial" w:hAnsi="Arial" w:cs="Arial"/>
          <w:color w:val="000000"/>
          <w:sz w:val="16"/>
          <w:szCs w:val="16"/>
        </w:rPr>
        <w:t>Please read this information in conjunction with the summary terms on the front cover of this pricing supplement.</w:t>
      </w:r>
    </w:p>
    <w:tbl>
      <w:tblPr>
        <w:tblW w:w="5000" w:type="pct"/>
        <w:tblCellSpacing w:w="0" w:type="dxa"/>
        <w:tblCellMar>
          <w:top w:w="15" w:type="dxa"/>
          <w:left w:w="15" w:type="dxa"/>
          <w:bottom w:w="15" w:type="dxa"/>
          <w:right w:w="15" w:type="dxa"/>
        </w:tblCellMar>
        <w:tblLook w:val="04A0" w:firstRow="1" w:lastRow="0" w:firstColumn="1" w:lastColumn="0" w:noHBand="0" w:noVBand="1"/>
      </w:tblPr>
      <w:tblGrid>
        <w:gridCol w:w="2944"/>
        <w:gridCol w:w="8720"/>
      </w:tblGrid>
      <w:tr w:rsidR="00BD53EC" w:rsidRPr="00DF7ED9" w14:paraId="43059020" w14:textId="77777777" w:rsidTr="00CF68CB">
        <w:trPr>
          <w:cantSplit/>
          <w:tblCellSpacing w:w="0" w:type="dxa"/>
        </w:trPr>
        <w:tc>
          <w:tcPr>
            <w:tcW w:w="1262" w:type="pct"/>
            <w:tcMar>
              <w:top w:w="0" w:type="dxa"/>
              <w:left w:w="0" w:type="dxa"/>
              <w:bottom w:w="0" w:type="dxa"/>
              <w:right w:w="0" w:type="dxa"/>
            </w:tcMar>
            <w:vAlign w:val="center"/>
            <w:hideMark/>
          </w:tcPr>
          <w:p w14:paraId="418CF47F" w14:textId="77777777" w:rsidR="002C6D14" w:rsidRPr="00DF7ED9" w:rsidRDefault="002C6D14">
            <w:pPr>
              <w:rPr>
                <w:color w:val="000000"/>
              </w:rPr>
            </w:pPr>
          </w:p>
        </w:tc>
        <w:tc>
          <w:tcPr>
            <w:tcW w:w="3738" w:type="pct"/>
            <w:tcMar>
              <w:top w:w="0" w:type="dxa"/>
              <w:left w:w="0" w:type="dxa"/>
              <w:bottom w:w="0" w:type="dxa"/>
              <w:right w:w="0" w:type="dxa"/>
            </w:tcMar>
            <w:vAlign w:val="center"/>
            <w:hideMark/>
          </w:tcPr>
          <w:p w14:paraId="578C78DD" w14:textId="77777777" w:rsidR="002C6D14" w:rsidRPr="00DF7ED9" w:rsidRDefault="002C6D14">
            <w:pPr>
              <w:rPr>
                <w:color w:val="000000"/>
              </w:rPr>
            </w:pPr>
          </w:p>
        </w:tc>
      </w:tr>
      <w:tr w:rsidR="00BD53EC" w:rsidRPr="00DF7ED9" w14:paraId="48420C3A" w14:textId="77777777" w:rsidTr="00CF68CB">
        <w:trPr>
          <w:cantSplit/>
          <w:tblCellSpacing w:w="0" w:type="dxa"/>
        </w:trPr>
        <w:tc>
          <w:tcPr>
            <w:tcW w:w="1262" w:type="pct"/>
            <w:shd w:val="clear" w:color="auto" w:fill="296DC1"/>
            <w:tcMar>
              <w:top w:w="0" w:type="dxa"/>
              <w:left w:w="64" w:type="dxa"/>
              <w:bottom w:w="0" w:type="dxa"/>
              <w:right w:w="64" w:type="dxa"/>
            </w:tcMar>
            <w:hideMark/>
          </w:tcPr>
          <w:p w14:paraId="4776ED4C" w14:textId="77777777" w:rsidR="002C6D14" w:rsidRPr="00DF7ED9" w:rsidRDefault="00C24AAF">
            <w:pPr>
              <w:spacing w:before="66" w:after="66" w:line="170" w:lineRule="atLeast"/>
              <w:rPr>
                <w:color w:val="000000"/>
                <w:sz w:val="16"/>
                <w:szCs w:val="16"/>
              </w:rPr>
            </w:pPr>
            <w:r w:rsidRPr="00DF7ED9">
              <w:rPr>
                <w:rFonts w:ascii="Arial" w:eastAsia="Arial" w:hAnsi="Arial" w:cs="Arial"/>
                <w:b/>
                <w:bCs/>
                <w:color w:val="FFFFFF"/>
                <w:sz w:val="16"/>
                <w:szCs w:val="16"/>
              </w:rPr>
              <w:t>Additional Terms:</w:t>
            </w:r>
          </w:p>
        </w:tc>
        <w:tc>
          <w:tcPr>
            <w:tcW w:w="3738" w:type="pct"/>
            <w:shd w:val="clear" w:color="auto" w:fill="296DC1"/>
            <w:tcMar>
              <w:top w:w="0" w:type="dxa"/>
              <w:left w:w="64" w:type="dxa"/>
              <w:bottom w:w="0" w:type="dxa"/>
              <w:right w:w="64" w:type="dxa"/>
            </w:tcMar>
            <w:hideMark/>
          </w:tcPr>
          <w:p w14:paraId="387A5600" w14:textId="77777777" w:rsidR="002C6D14" w:rsidRPr="00DF7ED9" w:rsidRDefault="00C24AAF">
            <w:pPr>
              <w:pBdr>
                <w:left w:val="none" w:sz="0" w:space="7" w:color="auto"/>
              </w:pBdr>
              <w:spacing w:before="66" w:after="66" w:line="170" w:lineRule="atLeast"/>
              <w:ind w:left="152"/>
              <w:rPr>
                <w:color w:val="000000"/>
                <w:sz w:val="16"/>
                <w:szCs w:val="16"/>
              </w:rPr>
            </w:pPr>
            <w:r w:rsidRPr="00DF7ED9">
              <w:rPr>
                <w:rFonts w:ascii="Arial" w:eastAsia="Arial" w:hAnsi="Arial" w:cs="Arial"/>
                <w:b/>
                <w:bCs/>
                <w:color w:val="000000"/>
                <w:sz w:val="16"/>
                <w:szCs w:val="16"/>
              </w:rPr>
              <w:t> </w:t>
            </w:r>
          </w:p>
        </w:tc>
      </w:tr>
      <w:tr w:rsidR="00BD53EC" w:rsidRPr="00DF7ED9" w14:paraId="1519E2A2" w14:textId="77777777" w:rsidTr="00596108">
        <w:trPr>
          <w:cantSplit/>
          <w:tblCellSpacing w:w="0" w:type="dxa"/>
        </w:trPr>
        <w:tc>
          <w:tcPr>
            <w:tcW w:w="5000" w:type="pct"/>
            <w:gridSpan w:val="2"/>
            <w:shd w:val="clear" w:color="auto" w:fill="FFFFFF" w:themeFill="background1"/>
            <w:tcMar>
              <w:top w:w="0" w:type="dxa"/>
              <w:left w:w="64" w:type="dxa"/>
              <w:bottom w:w="0" w:type="dxa"/>
              <w:right w:w="64" w:type="dxa"/>
            </w:tcMar>
            <w:hideMark/>
          </w:tcPr>
          <w:p w14:paraId="28DBD8D3" w14:textId="77777777" w:rsidR="002C6D14" w:rsidRPr="00DF7ED9" w:rsidRDefault="00C24AAF">
            <w:pPr>
              <w:spacing w:before="66" w:after="66" w:line="170" w:lineRule="atLeast"/>
              <w:rPr>
                <w:color w:val="000000"/>
                <w:sz w:val="16"/>
                <w:szCs w:val="16"/>
              </w:rPr>
            </w:pPr>
            <w:r w:rsidRPr="00DF7ED9">
              <w:rPr>
                <w:rFonts w:ascii="Arial" w:eastAsia="Arial" w:hAnsi="Arial" w:cs="Arial"/>
                <w:color w:val="000000"/>
                <w:sz w:val="16"/>
                <w:szCs w:val="16"/>
              </w:rPr>
              <w:t xml:space="preserve">If the terms described herein are inconsistent with those described in the accompanying </w:t>
            </w:r>
            <w:r w:rsidR="00E9186E" w:rsidRPr="00DF7ED9">
              <w:rPr>
                <w:rFonts w:ascii="Arial" w:eastAsia="Arial" w:hAnsi="Arial" w:cs="Arial"/>
                <w:color w:val="000000"/>
                <w:sz w:val="16"/>
                <w:szCs w:val="16"/>
              </w:rPr>
              <w:t xml:space="preserve">product supplement, </w:t>
            </w:r>
            <w:r w:rsidRPr="00DF7ED9">
              <w:rPr>
                <w:rFonts w:ascii="Arial" w:eastAsia="Arial" w:hAnsi="Arial" w:cs="Arial"/>
                <w:color w:val="000000"/>
                <w:sz w:val="16"/>
                <w:szCs w:val="16"/>
              </w:rPr>
              <w:t>prospectus supplement, or prospectus, the terms described herein shall control.</w:t>
            </w:r>
          </w:p>
        </w:tc>
      </w:tr>
      <w:tr w:rsidR="00BD53EC" w:rsidRPr="00DF7ED9" w14:paraId="4145688D" w14:textId="77777777" w:rsidTr="00B93F9A">
        <w:trPr>
          <w:cantSplit/>
          <w:tblCellSpacing w:w="0" w:type="dxa"/>
        </w:trPr>
        <w:tc>
          <w:tcPr>
            <w:tcW w:w="1262" w:type="pct"/>
            <w:shd w:val="clear" w:color="auto" w:fill="DCEBF4"/>
            <w:tcMar>
              <w:top w:w="0" w:type="dxa"/>
              <w:left w:w="64" w:type="dxa"/>
              <w:bottom w:w="0" w:type="dxa"/>
              <w:right w:w="64" w:type="dxa"/>
            </w:tcMar>
            <w:hideMark/>
          </w:tcPr>
          <w:p w14:paraId="1D181B5F" w14:textId="77777777" w:rsidR="002C6D14" w:rsidRPr="00DF7ED9" w:rsidRDefault="00C24AAF" w:rsidP="00CD1E9C">
            <w:pPr>
              <w:spacing w:after="33" w:line="170" w:lineRule="atLeast"/>
              <w:rPr>
                <w:color w:val="000000"/>
                <w:sz w:val="16"/>
                <w:szCs w:val="16"/>
              </w:rPr>
            </w:pPr>
            <w:r w:rsidRPr="00DF7ED9">
              <w:rPr>
                <w:rFonts w:ascii="Arial" w:eastAsia="Arial" w:hAnsi="Arial" w:cs="Arial"/>
                <w:b/>
                <w:bCs/>
                <w:color w:val="296DC1"/>
                <w:sz w:val="16"/>
                <w:szCs w:val="16"/>
              </w:rPr>
              <w:t>Denominations:</w:t>
            </w:r>
          </w:p>
        </w:tc>
        <w:tc>
          <w:tcPr>
            <w:tcW w:w="3738" w:type="pct"/>
            <w:shd w:val="clear" w:color="auto" w:fill="DCEBF4"/>
            <w:tcMar>
              <w:top w:w="0" w:type="dxa"/>
              <w:left w:w="64" w:type="dxa"/>
              <w:bottom w:w="0" w:type="dxa"/>
              <w:right w:w="64" w:type="dxa"/>
            </w:tcMar>
            <w:hideMark/>
          </w:tcPr>
          <w:p w14:paraId="40DEE008" w14:textId="77777777" w:rsidR="002C6D14" w:rsidRPr="00DF7ED9" w:rsidRDefault="00C24AAF" w:rsidP="00CD1E9C">
            <w:pPr>
              <w:spacing w:after="66" w:line="170" w:lineRule="atLeast"/>
              <w:rPr>
                <w:color w:val="000000"/>
                <w:sz w:val="16"/>
                <w:szCs w:val="16"/>
              </w:rPr>
            </w:pPr>
            <w:r w:rsidRPr="00DF7ED9">
              <w:rPr>
                <w:rFonts w:ascii="Arial" w:eastAsia="Arial" w:hAnsi="Arial" w:cs="Arial"/>
                <w:color w:val="000000"/>
                <w:sz w:val="16"/>
                <w:szCs w:val="16"/>
              </w:rPr>
              <w:t>The securities will be issued in minimum denominations of $1,000 and whole multiples of $1,000 in excess thereof.</w:t>
            </w:r>
          </w:p>
        </w:tc>
      </w:tr>
      <w:tr w:rsidR="00BD53EC" w:rsidRPr="00DF7ED9" w14:paraId="363907FA" w14:textId="77777777" w:rsidTr="00CF68CB">
        <w:trPr>
          <w:cantSplit/>
          <w:tblCellSpacing w:w="0" w:type="dxa"/>
        </w:trPr>
        <w:tc>
          <w:tcPr>
            <w:tcW w:w="1262" w:type="pct"/>
            <w:shd w:val="clear" w:color="auto" w:fill="FFFFFF"/>
            <w:tcMar>
              <w:top w:w="0" w:type="dxa"/>
              <w:left w:w="64" w:type="dxa"/>
              <w:bottom w:w="0" w:type="dxa"/>
              <w:right w:w="64" w:type="dxa"/>
            </w:tcMar>
            <w:hideMark/>
          </w:tcPr>
          <w:p w14:paraId="1EC8B44E" w14:textId="77777777" w:rsidR="002C6D14" w:rsidRPr="00DF7ED9" w:rsidRDefault="00C24AAF" w:rsidP="00CD1E9C">
            <w:pPr>
              <w:spacing w:after="33" w:line="200" w:lineRule="atLeast"/>
              <w:rPr>
                <w:color w:val="000000"/>
                <w:sz w:val="16"/>
                <w:szCs w:val="16"/>
              </w:rPr>
            </w:pPr>
            <w:r w:rsidRPr="00DF7ED9">
              <w:rPr>
                <w:rFonts w:ascii="Arial" w:eastAsia="Arial" w:hAnsi="Arial" w:cs="Arial"/>
                <w:b/>
                <w:bCs/>
                <w:color w:val="296DC1"/>
                <w:sz w:val="16"/>
                <w:szCs w:val="16"/>
              </w:rPr>
              <w:t>Calculation agent:</w:t>
            </w:r>
          </w:p>
        </w:tc>
        <w:tc>
          <w:tcPr>
            <w:tcW w:w="3738" w:type="pct"/>
            <w:shd w:val="clear" w:color="auto" w:fill="FFFFFF"/>
            <w:tcMar>
              <w:top w:w="0" w:type="dxa"/>
              <w:left w:w="64" w:type="dxa"/>
              <w:bottom w:w="0" w:type="dxa"/>
              <w:right w:w="64" w:type="dxa"/>
            </w:tcMar>
            <w:hideMark/>
          </w:tcPr>
          <w:p w14:paraId="14B9C7F7" w14:textId="77777777" w:rsidR="002C6D14" w:rsidRPr="00DF7ED9" w:rsidRDefault="00C24AAF" w:rsidP="00CD1E9C">
            <w:pPr>
              <w:spacing w:after="66" w:line="200" w:lineRule="atLeast"/>
              <w:rPr>
                <w:color w:val="000000"/>
                <w:sz w:val="16"/>
                <w:szCs w:val="16"/>
              </w:rPr>
            </w:pPr>
            <w:r w:rsidRPr="00DF7ED9">
              <w:rPr>
                <w:rFonts w:ascii="Arial" w:eastAsia="Arial" w:hAnsi="Arial" w:cs="Arial"/>
                <w:color w:val="000000"/>
                <w:sz w:val="16"/>
                <w:szCs w:val="16"/>
              </w:rPr>
              <w:t>BofAS, an affiliate of BofA Finance.</w:t>
            </w:r>
          </w:p>
        </w:tc>
      </w:tr>
      <w:tr w:rsidR="00BD53EC" w:rsidRPr="00DF7ED9" w14:paraId="2C433662" w14:textId="77777777" w:rsidTr="00B93F9A">
        <w:trPr>
          <w:cantSplit/>
          <w:tblCellSpacing w:w="0" w:type="dxa"/>
        </w:trPr>
        <w:tc>
          <w:tcPr>
            <w:tcW w:w="1262" w:type="pct"/>
            <w:shd w:val="clear" w:color="auto" w:fill="DCEBF4"/>
            <w:tcMar>
              <w:top w:w="0" w:type="dxa"/>
              <w:left w:w="64" w:type="dxa"/>
              <w:bottom w:w="0" w:type="dxa"/>
              <w:right w:w="64" w:type="dxa"/>
            </w:tcMar>
            <w:hideMark/>
          </w:tcPr>
          <w:p w14:paraId="44F3D2F8" w14:textId="77777777" w:rsidR="002C6D14" w:rsidRPr="00DF7ED9" w:rsidRDefault="00C24AAF" w:rsidP="00CD1E9C">
            <w:pPr>
              <w:spacing w:after="33" w:line="200" w:lineRule="atLeast"/>
              <w:rPr>
                <w:color w:val="000000"/>
                <w:sz w:val="16"/>
                <w:szCs w:val="16"/>
              </w:rPr>
            </w:pPr>
            <w:r w:rsidRPr="00DF7ED9">
              <w:rPr>
                <w:rFonts w:ascii="Arial" w:eastAsia="Arial" w:hAnsi="Arial" w:cs="Arial"/>
                <w:b/>
                <w:bCs/>
                <w:color w:val="296DC1"/>
                <w:sz w:val="16"/>
                <w:szCs w:val="16"/>
              </w:rPr>
              <w:t>Events of default and acceleration</w:t>
            </w:r>
            <w:r w:rsidR="003F76B8" w:rsidRPr="00DF7ED9">
              <w:rPr>
                <w:rFonts w:ascii="Arial" w:eastAsia="Arial" w:hAnsi="Arial" w:cs="Arial"/>
                <w:b/>
                <w:bCs/>
                <w:color w:val="296DC1"/>
                <w:sz w:val="16"/>
                <w:szCs w:val="16"/>
              </w:rPr>
              <w:t>:</w:t>
            </w:r>
          </w:p>
          <w:p w14:paraId="58F14311" w14:textId="77777777" w:rsidR="002C6D14" w:rsidRPr="00DF7ED9" w:rsidRDefault="00C24AAF" w:rsidP="00CD1E9C">
            <w:pPr>
              <w:spacing w:after="33" w:line="200" w:lineRule="atLeast"/>
              <w:rPr>
                <w:color w:val="000000"/>
                <w:sz w:val="16"/>
                <w:szCs w:val="16"/>
              </w:rPr>
            </w:pPr>
            <w:r w:rsidRPr="00DF7ED9">
              <w:rPr>
                <w:rFonts w:ascii="Arial" w:eastAsia="Arial" w:hAnsi="Arial" w:cs="Arial"/>
                <w:b/>
                <w:bCs/>
                <w:color w:val="296DC1"/>
                <w:sz w:val="16"/>
                <w:szCs w:val="16"/>
              </w:rPr>
              <w:t> </w:t>
            </w:r>
          </w:p>
        </w:tc>
        <w:tc>
          <w:tcPr>
            <w:tcW w:w="3738" w:type="pct"/>
            <w:shd w:val="clear" w:color="auto" w:fill="DCEBF4"/>
            <w:tcMar>
              <w:top w:w="0" w:type="dxa"/>
              <w:left w:w="64" w:type="dxa"/>
              <w:bottom w:w="0" w:type="dxa"/>
              <w:right w:w="64" w:type="dxa"/>
            </w:tcMar>
            <w:hideMark/>
          </w:tcPr>
          <w:p w14:paraId="3AA6CE40" w14:textId="58845509" w:rsidR="002C6D14" w:rsidRPr="00DF7ED9" w:rsidRDefault="00C24AAF" w:rsidP="00CD1E9C">
            <w:pPr>
              <w:spacing w:after="66" w:line="200" w:lineRule="atLeast"/>
              <w:rPr>
                <w:color w:val="000000"/>
                <w:sz w:val="16"/>
                <w:szCs w:val="16"/>
              </w:rPr>
            </w:pPr>
            <w:r w:rsidRPr="00DF7ED9">
              <w:rPr>
                <w:rFonts w:ascii="Arial" w:eastAsia="Arial" w:hAnsi="Arial" w:cs="Arial"/>
                <w:color w:val="000000"/>
                <w:sz w:val="16"/>
                <w:szCs w:val="16"/>
              </w:rPr>
              <w:t>If an event of default, as defined in the senior indenture relating to the securities and in the section entitled “Description of Debt Securities</w:t>
            </w:r>
            <w:r w:rsidR="00805ED1" w:rsidRPr="00DF7ED9">
              <w:rPr>
                <w:rFonts w:ascii="Arial" w:eastAsia="Arial" w:hAnsi="Arial" w:cs="Arial"/>
                <w:color w:val="000000"/>
                <w:sz w:val="16"/>
                <w:szCs w:val="16"/>
              </w:rPr>
              <w:t xml:space="preserve"> of BofA Finance LLC</w:t>
            </w:r>
            <w:r w:rsidRPr="00DF7ED9">
              <w:rPr>
                <w:rFonts w:ascii="Arial" w:eastAsia="Arial" w:hAnsi="Arial" w:cs="Arial"/>
                <w:color w:val="000000"/>
                <w:sz w:val="16"/>
                <w:szCs w:val="16"/>
              </w:rPr>
              <w:t xml:space="preserve">—Events of Default and Rights of Acceleration” on page </w:t>
            </w:r>
            <w:r w:rsidR="00805ED1" w:rsidRPr="00DF7ED9">
              <w:rPr>
                <w:rFonts w:ascii="Arial" w:eastAsia="Arial" w:hAnsi="Arial" w:cs="Arial"/>
                <w:color w:val="000000"/>
                <w:sz w:val="16"/>
                <w:szCs w:val="16"/>
              </w:rPr>
              <w:t>5</w:t>
            </w:r>
            <w:r w:rsidR="00E03692">
              <w:rPr>
                <w:rFonts w:ascii="Arial" w:eastAsia="Arial" w:hAnsi="Arial" w:cs="Arial"/>
                <w:color w:val="000000"/>
                <w:sz w:val="16"/>
                <w:szCs w:val="16"/>
              </w:rPr>
              <w:t>1</w:t>
            </w:r>
            <w:r w:rsidRPr="00DF7ED9">
              <w:rPr>
                <w:rFonts w:ascii="Arial" w:eastAsia="Arial" w:hAnsi="Arial" w:cs="Arial"/>
                <w:color w:val="000000"/>
                <w:sz w:val="16"/>
                <w:szCs w:val="16"/>
              </w:rPr>
              <w:t xml:space="preserve"> of the accompanying prospectus, with respect to the securities occurs and is continuing, the amount payable to a holder of the securities upon any acceleration permitted under the senior indenture will be equal to the amount described under the caption “Payment at maturity” above, calculated as though the date of acceleration were the maturity date of the securities and as though the final observation date were the third trading day prior to the date of acceleration. We will also determine whether the final contingent quarterly coupon is payable based upon the index closing value of the </w:t>
            </w:r>
            <w:r w:rsidR="004B51F0" w:rsidRPr="00DF7ED9">
              <w:rPr>
                <w:rFonts w:ascii="Arial" w:eastAsia="Arial" w:hAnsi="Arial" w:cs="Arial"/>
                <w:color w:val="000000"/>
                <w:sz w:val="16"/>
                <w:szCs w:val="16"/>
              </w:rPr>
              <w:t>underlying index</w:t>
            </w:r>
            <w:r w:rsidRPr="00DF7ED9">
              <w:rPr>
                <w:rFonts w:ascii="Arial" w:eastAsia="Arial" w:hAnsi="Arial" w:cs="Arial"/>
                <w:color w:val="000000"/>
                <w:sz w:val="16"/>
                <w:szCs w:val="16"/>
              </w:rPr>
              <w:t xml:space="preserve"> on the deemed final observation date; any such final contingent quarterly coupon will be prorated by the calculation agent to reflect the length of the final contingent quarterly coupon period. In case of a default in the payment of the securities, whether at their maturity or upon acceleration, the securities will not bear a default interest rate.</w:t>
            </w:r>
          </w:p>
        </w:tc>
      </w:tr>
    </w:tbl>
    <w:p w14:paraId="298A0BDE" w14:textId="77777777" w:rsidR="002C6D14" w:rsidRPr="00DF7ED9" w:rsidRDefault="002C6D14">
      <w:pPr>
        <w:pBdr>
          <w:bottom w:val="single" w:sz="8" w:space="0" w:color="000000"/>
        </w:pBdr>
        <w:spacing w:before="240" w:after="240"/>
        <w:sectPr w:rsidR="002C6D14" w:rsidRPr="00DF7ED9" w:rsidSect="00371BFB">
          <w:pgSz w:w="12240" w:h="15840"/>
          <w:pgMar w:top="288" w:right="288" w:bottom="288" w:left="288" w:header="720" w:footer="720" w:gutter="0"/>
          <w:cols w:space="720"/>
        </w:sectPr>
      </w:pPr>
    </w:p>
    <w:p w14:paraId="2FF61B51" w14:textId="77777777" w:rsidR="002C6D14" w:rsidRPr="00DF7ED9" w:rsidRDefault="00C24AAF" w:rsidP="00F17517">
      <w:pPr>
        <w:spacing w:before="132"/>
        <w:ind w:left="792" w:right="792" w:hanging="792"/>
        <w:rPr>
          <w:sz w:val="28"/>
          <w:szCs w:val="28"/>
        </w:rPr>
      </w:pPr>
      <w:r w:rsidRPr="00DF7ED9">
        <w:rPr>
          <w:rFonts w:ascii="Arial" w:eastAsia="Arial" w:hAnsi="Arial" w:cs="Arial"/>
          <w:color w:val="296DC1"/>
          <w:sz w:val="28"/>
          <w:szCs w:val="28"/>
        </w:rPr>
        <w:lastRenderedPageBreak/>
        <w:t>Additional Information About the Securities</w:t>
      </w:r>
    </w:p>
    <w:tbl>
      <w:tblPr>
        <w:tblpPr w:leftFromText="180" w:rightFromText="180" w:vertAnchor="text" w:tblpY="1"/>
        <w:tblOverlap w:val="never"/>
        <w:tblW w:w="5000" w:type="pct"/>
        <w:tblCellSpacing w:w="0" w:type="dxa"/>
        <w:tblCellMar>
          <w:top w:w="15" w:type="dxa"/>
          <w:left w:w="15" w:type="dxa"/>
          <w:bottom w:w="15" w:type="dxa"/>
          <w:right w:w="15" w:type="dxa"/>
        </w:tblCellMar>
        <w:tblLook w:val="04A0" w:firstRow="1" w:lastRow="0" w:firstColumn="1" w:lastColumn="0" w:noHBand="0" w:noVBand="1"/>
      </w:tblPr>
      <w:tblGrid>
        <w:gridCol w:w="2944"/>
        <w:gridCol w:w="8720"/>
      </w:tblGrid>
      <w:tr w:rsidR="00BD53EC" w:rsidRPr="00DF7ED9" w14:paraId="57676129" w14:textId="77777777" w:rsidTr="00261F14">
        <w:trPr>
          <w:cantSplit/>
          <w:tblCellSpacing w:w="0" w:type="dxa"/>
        </w:trPr>
        <w:tc>
          <w:tcPr>
            <w:tcW w:w="1262" w:type="pct"/>
            <w:tcMar>
              <w:top w:w="0" w:type="dxa"/>
              <w:left w:w="0" w:type="dxa"/>
              <w:bottom w:w="0" w:type="dxa"/>
              <w:right w:w="0" w:type="dxa"/>
            </w:tcMar>
            <w:vAlign w:val="center"/>
            <w:hideMark/>
          </w:tcPr>
          <w:p w14:paraId="0F82B9D6" w14:textId="77777777" w:rsidR="002C6D14" w:rsidRPr="00DF7ED9" w:rsidRDefault="00C24AAF" w:rsidP="00261F14">
            <w:pPr>
              <w:rPr>
                <w:color w:val="000000"/>
              </w:rPr>
            </w:pPr>
            <w:r w:rsidRPr="00DF7ED9">
              <w:rPr>
                <w:rFonts w:ascii="Arial" w:eastAsia="Arial" w:hAnsi="Arial" w:cs="Arial"/>
                <w:color w:val="000000"/>
                <w:sz w:val="20"/>
                <w:szCs w:val="20"/>
              </w:rPr>
              <w:t> </w:t>
            </w:r>
          </w:p>
        </w:tc>
        <w:tc>
          <w:tcPr>
            <w:tcW w:w="3738" w:type="pct"/>
            <w:tcMar>
              <w:top w:w="0" w:type="dxa"/>
              <w:left w:w="0" w:type="dxa"/>
              <w:bottom w:w="0" w:type="dxa"/>
              <w:right w:w="0" w:type="dxa"/>
            </w:tcMar>
            <w:vAlign w:val="center"/>
            <w:hideMark/>
          </w:tcPr>
          <w:p w14:paraId="251FFE31" w14:textId="77777777" w:rsidR="002C6D14" w:rsidRPr="00DF7ED9" w:rsidRDefault="002C6D14" w:rsidP="00261F14">
            <w:pPr>
              <w:rPr>
                <w:color w:val="000000"/>
              </w:rPr>
            </w:pPr>
          </w:p>
        </w:tc>
      </w:tr>
      <w:tr w:rsidR="00BD53EC" w:rsidRPr="00DF7ED9" w14:paraId="4F68B4F9" w14:textId="77777777" w:rsidTr="00261F14">
        <w:trPr>
          <w:cantSplit/>
          <w:tblCellSpacing w:w="0" w:type="dxa"/>
        </w:trPr>
        <w:tc>
          <w:tcPr>
            <w:tcW w:w="1262" w:type="pct"/>
            <w:shd w:val="clear" w:color="auto" w:fill="296DC1"/>
            <w:tcMar>
              <w:top w:w="0" w:type="dxa"/>
              <w:left w:w="64" w:type="dxa"/>
              <w:bottom w:w="0" w:type="dxa"/>
              <w:right w:w="64" w:type="dxa"/>
            </w:tcMar>
            <w:hideMark/>
          </w:tcPr>
          <w:p w14:paraId="3407470C" w14:textId="77777777" w:rsidR="002C6D14" w:rsidRPr="00DF7ED9" w:rsidRDefault="00C24AAF" w:rsidP="00CD1E9C">
            <w:pPr>
              <w:spacing w:after="66" w:line="170" w:lineRule="atLeast"/>
              <w:rPr>
                <w:color w:val="000000"/>
                <w:sz w:val="16"/>
                <w:szCs w:val="16"/>
              </w:rPr>
            </w:pPr>
            <w:r w:rsidRPr="00DF7ED9">
              <w:rPr>
                <w:rFonts w:ascii="Arial" w:eastAsia="Arial" w:hAnsi="Arial" w:cs="Arial"/>
                <w:b/>
                <w:bCs/>
                <w:color w:val="FFFFFF"/>
                <w:sz w:val="16"/>
                <w:szCs w:val="16"/>
              </w:rPr>
              <w:t xml:space="preserve">Additional Information: </w:t>
            </w:r>
          </w:p>
        </w:tc>
        <w:tc>
          <w:tcPr>
            <w:tcW w:w="3738" w:type="pct"/>
            <w:shd w:val="clear" w:color="auto" w:fill="296DC1"/>
            <w:tcMar>
              <w:top w:w="0" w:type="dxa"/>
              <w:left w:w="64" w:type="dxa"/>
              <w:bottom w:w="0" w:type="dxa"/>
              <w:right w:w="64" w:type="dxa"/>
            </w:tcMar>
            <w:hideMark/>
          </w:tcPr>
          <w:p w14:paraId="163D7972" w14:textId="77777777" w:rsidR="002C6D14" w:rsidRPr="00DF7ED9" w:rsidRDefault="00C24AAF" w:rsidP="00CD1E9C">
            <w:pPr>
              <w:pBdr>
                <w:left w:val="none" w:sz="0" w:space="7" w:color="auto"/>
              </w:pBdr>
              <w:spacing w:after="66" w:line="170" w:lineRule="atLeast"/>
              <w:ind w:left="152"/>
              <w:rPr>
                <w:color w:val="000000"/>
                <w:sz w:val="16"/>
                <w:szCs w:val="16"/>
              </w:rPr>
            </w:pPr>
            <w:r w:rsidRPr="00DF7ED9">
              <w:rPr>
                <w:rFonts w:ascii="Arial" w:eastAsia="Arial" w:hAnsi="Arial" w:cs="Arial"/>
                <w:b/>
                <w:bCs/>
                <w:color w:val="000000"/>
                <w:sz w:val="16"/>
                <w:szCs w:val="16"/>
              </w:rPr>
              <w:t> </w:t>
            </w:r>
          </w:p>
        </w:tc>
      </w:tr>
      <w:tr w:rsidR="00BD53EC" w:rsidRPr="00DF7ED9" w14:paraId="5F2847CE" w14:textId="77777777" w:rsidTr="00B93F9A">
        <w:trPr>
          <w:cantSplit/>
          <w:tblCellSpacing w:w="0" w:type="dxa"/>
        </w:trPr>
        <w:tc>
          <w:tcPr>
            <w:tcW w:w="1262" w:type="pct"/>
            <w:shd w:val="clear" w:color="auto" w:fill="DCEBF4"/>
            <w:tcMar>
              <w:top w:w="0" w:type="dxa"/>
              <w:left w:w="64" w:type="dxa"/>
              <w:bottom w:w="0" w:type="dxa"/>
              <w:right w:w="64" w:type="dxa"/>
            </w:tcMar>
            <w:hideMark/>
          </w:tcPr>
          <w:p w14:paraId="7EF394E3" w14:textId="77777777" w:rsidR="00F17517" w:rsidRPr="00DF7ED9" w:rsidRDefault="00C24AAF" w:rsidP="00CD1E9C">
            <w:pPr>
              <w:spacing w:after="66" w:line="288" w:lineRule="atLeast"/>
              <w:rPr>
                <w:color w:val="000000"/>
                <w:sz w:val="16"/>
                <w:szCs w:val="16"/>
              </w:rPr>
            </w:pPr>
            <w:r w:rsidRPr="00DF7ED9">
              <w:rPr>
                <w:rFonts w:ascii="Arial" w:eastAsia="Arial" w:hAnsi="Arial" w:cs="Arial"/>
                <w:b/>
                <w:bCs/>
                <w:color w:val="296DC1"/>
                <w:sz w:val="16"/>
                <w:szCs w:val="16"/>
              </w:rPr>
              <w:t>Tax considerations:</w:t>
            </w:r>
          </w:p>
        </w:tc>
        <w:tc>
          <w:tcPr>
            <w:tcW w:w="3738" w:type="pct"/>
            <w:shd w:val="clear" w:color="auto" w:fill="DCEBF4"/>
            <w:tcMar>
              <w:top w:w="0" w:type="dxa"/>
              <w:left w:w="64" w:type="dxa"/>
              <w:bottom w:w="0" w:type="dxa"/>
              <w:right w:w="64" w:type="dxa"/>
            </w:tcMar>
            <w:hideMark/>
          </w:tcPr>
          <w:p w14:paraId="61A3BFE6" w14:textId="2D4C6657" w:rsidR="00F17517" w:rsidRPr="00DF7ED9" w:rsidRDefault="00C24AAF" w:rsidP="00CD1E9C">
            <w:pPr>
              <w:pStyle w:val="FontBodyRegularNoJustify"/>
              <w:rPr>
                <w:color w:val="auto"/>
                <w:szCs w:val="16"/>
              </w:rPr>
            </w:pPr>
            <w:r w:rsidRPr="00DF7ED9">
              <w:rPr>
                <w:color w:val="auto"/>
                <w:szCs w:val="16"/>
              </w:rPr>
              <w:t>The following summary of the material U.S. federal income and estate tax considerations of the acquisition, ownership, and disposition of the securities supplements, and to the extent inconsistent supersedes, the discussion under “U.S. Federal Income Tax Considerations” in the accompanying prospectus and is not exhaustive of all possible tax considerations. This summary is based upon the Internal Revenue Code of 1986, as amended (the “Code”), regulations promulgated under the Code by the U.S. Treasury Department (“Treasury”) (including proposed and temporary regulations), rulings, current administrative interpretations and official pronouncements of the IRS, and judicial decisions, all as currently in effect and all of which are subject to differing interpretations or to change, possibly with retroactive effect. No assurance can be given that the IRS would not assert, or that a court would not sustain, a position contrary to any of the tax consequences described below. This summary does not include any description of the tax laws of any state or local governments, or of any foreign government, that may be applicable to a particular holder.</w:t>
            </w:r>
          </w:p>
          <w:p w14:paraId="6205C912" w14:textId="77777777" w:rsidR="00F17517" w:rsidRPr="00DF7ED9" w:rsidRDefault="00F17517" w:rsidP="00CD1E9C">
            <w:pPr>
              <w:pStyle w:val="FontBodyRegularNoJustify"/>
              <w:rPr>
                <w:color w:val="auto"/>
                <w:szCs w:val="16"/>
              </w:rPr>
            </w:pPr>
          </w:p>
          <w:p w14:paraId="12FFB4AC" w14:textId="77777777" w:rsidR="00F17517" w:rsidRPr="00DF7ED9" w:rsidRDefault="00C24AAF" w:rsidP="00CD1E9C">
            <w:pPr>
              <w:pStyle w:val="FontBodyRegularNoJustify"/>
              <w:rPr>
                <w:color w:val="auto"/>
                <w:szCs w:val="16"/>
              </w:rPr>
            </w:pPr>
            <w:r w:rsidRPr="00DF7ED9">
              <w:rPr>
                <w:color w:val="auto"/>
                <w:szCs w:val="16"/>
              </w:rPr>
              <w:t>Although the securities are issued by us, they will be treated as if they were issued by BAC for U.S. federal income tax purposes. Accordingly throughout this tax discussion, references to “we,” “our” or “us” are generally to BAC unless the context requires otherwise.</w:t>
            </w:r>
          </w:p>
          <w:p w14:paraId="76C2EAFF" w14:textId="77777777" w:rsidR="00F17517" w:rsidRPr="00DF7ED9" w:rsidRDefault="00F17517" w:rsidP="00CD1E9C">
            <w:pPr>
              <w:pStyle w:val="FontBodyRegularNoJustify"/>
              <w:rPr>
                <w:color w:val="auto"/>
                <w:szCs w:val="16"/>
              </w:rPr>
            </w:pPr>
          </w:p>
          <w:p w14:paraId="2EBE218A" w14:textId="69AF715C" w:rsidR="00F17517" w:rsidRPr="00DF7ED9" w:rsidRDefault="00C24AAF" w:rsidP="00CD1E9C">
            <w:pPr>
              <w:pStyle w:val="FontBodyRegularNoJustify"/>
              <w:rPr>
                <w:color w:val="auto"/>
                <w:szCs w:val="16"/>
              </w:rPr>
            </w:pPr>
            <w:r w:rsidRPr="00DF7ED9">
              <w:rPr>
                <w:color w:val="auto"/>
                <w:szCs w:val="16"/>
              </w:rPr>
              <w:t>This summary is directed solely to U.S. Holders and Non-U.S. Holders</w:t>
            </w:r>
            <w:r w:rsidR="00945051">
              <w:rPr>
                <w:color w:val="auto"/>
                <w:szCs w:val="16"/>
              </w:rPr>
              <w:t xml:space="preserve"> (each, as defined in the accompanying prospectus)</w:t>
            </w:r>
            <w:r w:rsidRPr="00DF7ED9">
              <w:rPr>
                <w:color w:val="auto"/>
                <w:szCs w:val="16"/>
              </w:rPr>
              <w:t xml:space="preserve"> that, except as otherwise specifically noted, will purchase the securities upon original issuance and will hold the securities as capital assets within the meaning of Section 1221 of the Code, which generally means property held for investment, and that are not excluded from the discussion under “U.S. Federal Income Tax Considerations” in the accompanying prospectus. </w:t>
            </w:r>
          </w:p>
          <w:p w14:paraId="4F1969FF" w14:textId="77777777" w:rsidR="00F17517" w:rsidRPr="00DF7ED9" w:rsidRDefault="00F17517" w:rsidP="00CD1E9C">
            <w:pPr>
              <w:pStyle w:val="FontBodyRegularNoJustify"/>
              <w:rPr>
                <w:color w:val="auto"/>
                <w:szCs w:val="16"/>
              </w:rPr>
            </w:pPr>
          </w:p>
          <w:p w14:paraId="1D0444B0" w14:textId="77777777" w:rsidR="00F17517" w:rsidRPr="00DF7ED9" w:rsidRDefault="00C24AAF" w:rsidP="00CD1E9C">
            <w:pPr>
              <w:pStyle w:val="FontBodyRegularNoJustify"/>
              <w:rPr>
                <w:color w:val="auto"/>
                <w:szCs w:val="16"/>
              </w:rPr>
            </w:pPr>
            <w:r w:rsidRPr="00DF7ED9">
              <w:rPr>
                <w:color w:val="auto"/>
                <w:szCs w:val="16"/>
              </w:rPr>
              <w:t>You should consult your own tax advisor concerning the U.S. federal income tax consequences to you of acquiring, owning, and disposing of the securities, as well as any tax consequences arising under the laws of any state, local, foreign, or other tax jurisdiction and the possible effects of changes in U.S. federal or other tax laws.</w:t>
            </w:r>
          </w:p>
          <w:p w14:paraId="47CBE0BD" w14:textId="77777777" w:rsidR="00F17517" w:rsidRPr="00DF7ED9" w:rsidRDefault="00F17517" w:rsidP="00CD1E9C">
            <w:pPr>
              <w:pStyle w:val="FontBodyRegularNoJustify"/>
              <w:rPr>
                <w:color w:val="auto"/>
                <w:szCs w:val="16"/>
              </w:rPr>
            </w:pPr>
          </w:p>
          <w:p w14:paraId="73799377" w14:textId="77777777" w:rsidR="00F17517" w:rsidRPr="00DF7ED9" w:rsidRDefault="00C24AAF" w:rsidP="00CD1E9C">
            <w:pPr>
              <w:pStyle w:val="FontBodyRegularNoJustify"/>
              <w:rPr>
                <w:color w:val="auto"/>
                <w:szCs w:val="16"/>
              </w:rPr>
            </w:pPr>
            <w:r w:rsidRPr="00DF7ED9">
              <w:rPr>
                <w:b/>
                <w:bCs/>
                <w:color w:val="auto"/>
                <w:szCs w:val="16"/>
              </w:rPr>
              <w:t>General</w:t>
            </w:r>
          </w:p>
          <w:p w14:paraId="1A1B3026" w14:textId="77777777" w:rsidR="00F17517" w:rsidRPr="00DF7ED9" w:rsidRDefault="00F17517" w:rsidP="00CD1E9C">
            <w:pPr>
              <w:pStyle w:val="FontBodyRegularNoJustify"/>
              <w:rPr>
                <w:color w:val="auto"/>
                <w:szCs w:val="16"/>
              </w:rPr>
            </w:pPr>
          </w:p>
          <w:p w14:paraId="21D83073" w14:textId="75410220" w:rsidR="004157BF" w:rsidRDefault="00AD4D1C" w:rsidP="00CD1E9C">
            <w:pPr>
              <w:pStyle w:val="FontBodyRegularNoJustify"/>
              <w:rPr>
                <w:color w:val="auto"/>
                <w:szCs w:val="16"/>
              </w:rPr>
            </w:pPr>
            <w:r w:rsidRPr="00AD4D1C">
              <w:rPr>
                <w:color w:val="auto"/>
                <w:szCs w:val="16"/>
              </w:rPr>
              <w:t>Although there is no statutory, judicial, or administrative authority directly addressing the characterization of the securities, we intend to treat the securities for all tax purposes as contingent income-bearing single financial contracts with respect to the underlying ind</w:t>
            </w:r>
            <w:r w:rsidR="00C21AA9">
              <w:rPr>
                <w:color w:val="auto"/>
                <w:szCs w:val="16"/>
              </w:rPr>
              <w:t>ex</w:t>
            </w:r>
            <w:r w:rsidRPr="00AD4D1C">
              <w:rPr>
                <w:color w:val="auto"/>
                <w:szCs w:val="16"/>
              </w:rPr>
              <w:t xml:space="preserve"> and under the terms of the securities, we and every investor in the securities agree, in the absence of an administrative determination or judicial ruling to the contrary, to treat the securities in accordance with such characterization. In the opinion of our counsel, Sidley Austin LLP, it is reasonable to treat the securities as contingent income-bearing single financial contracts with respect to the underlying in</w:t>
            </w:r>
            <w:r w:rsidR="00C21AA9">
              <w:rPr>
                <w:color w:val="auto"/>
                <w:szCs w:val="16"/>
              </w:rPr>
              <w:t>dex</w:t>
            </w:r>
            <w:r w:rsidRPr="00AD4D1C">
              <w:rPr>
                <w:color w:val="auto"/>
                <w:szCs w:val="16"/>
              </w:rPr>
              <w:t>.  This discussion assumes that the securities constitute contingent income-bearing single financial contracts with respect to the underlying ind</w:t>
            </w:r>
            <w:r w:rsidR="00C21AA9">
              <w:rPr>
                <w:color w:val="auto"/>
                <w:szCs w:val="16"/>
              </w:rPr>
              <w:t>ex</w:t>
            </w:r>
            <w:r w:rsidRPr="00AD4D1C">
              <w:rPr>
                <w:color w:val="auto"/>
                <w:szCs w:val="16"/>
              </w:rPr>
              <w:t xml:space="preserve"> for U.S. federal income tax purposes.  If the securities did not constitute contingent income-bearing single financial contracts, the tax consequences described below would be materially different.</w:t>
            </w:r>
          </w:p>
          <w:p w14:paraId="079B5DBF" w14:textId="77777777" w:rsidR="00AD4D1C" w:rsidRPr="00DF7ED9" w:rsidRDefault="00AD4D1C" w:rsidP="00CD1E9C">
            <w:pPr>
              <w:pStyle w:val="FontBodyRegularNoJustify"/>
              <w:rPr>
                <w:color w:val="auto"/>
                <w:szCs w:val="16"/>
              </w:rPr>
            </w:pPr>
          </w:p>
          <w:p w14:paraId="74CC2A67" w14:textId="77777777" w:rsidR="00F17517" w:rsidRPr="00DF7ED9" w:rsidRDefault="00C24AAF" w:rsidP="00CD1E9C">
            <w:pPr>
              <w:pStyle w:val="FontBodyRegularNoJustify"/>
              <w:rPr>
                <w:color w:val="auto"/>
                <w:szCs w:val="16"/>
              </w:rPr>
            </w:pPr>
            <w:r w:rsidRPr="00DF7ED9">
              <w:rPr>
                <w:i/>
                <w:iCs/>
                <w:color w:val="auto"/>
                <w:szCs w:val="16"/>
              </w:rPr>
              <w:t>This characterization of the securities is not binding on the IRS or the courts.  No statutory, judicial, or administrative authority directly addresses the characterization of the securities or any similar instruments for U.S. federal income tax purposes, and no ruling is being requested from the IRS with respect to their proper characterization and treatment.  Due to the absence of authorities on point, significant aspects of the U.S. federal income tax consequences of an investment in the securities are not certain, and no assurance can be given that the IRS or any court will agree with the characterization and tax treatment described in this pricing supplement.  Accordingly, you are urged to consult your tax advisor regarding all aspects of the U.S. federal income tax consequences of an investment in the securities, including possible alternative characterizations.</w:t>
            </w:r>
          </w:p>
          <w:p w14:paraId="5783A601" w14:textId="77777777" w:rsidR="00F17517" w:rsidRPr="00DF7ED9" w:rsidRDefault="00F17517" w:rsidP="00CD1E9C">
            <w:pPr>
              <w:pStyle w:val="FontBodyRegularNoJustify"/>
              <w:rPr>
                <w:color w:val="auto"/>
                <w:szCs w:val="16"/>
              </w:rPr>
            </w:pPr>
          </w:p>
          <w:p w14:paraId="7084667A" w14:textId="77777777" w:rsidR="00F17517" w:rsidRPr="00DF7ED9" w:rsidRDefault="00C24AAF" w:rsidP="00CD1E9C">
            <w:pPr>
              <w:pStyle w:val="FontBodyRegularNoJustify"/>
              <w:rPr>
                <w:color w:val="auto"/>
                <w:szCs w:val="16"/>
              </w:rPr>
            </w:pPr>
            <w:r w:rsidRPr="00DF7ED9">
              <w:rPr>
                <w:color w:val="auto"/>
                <w:szCs w:val="16"/>
              </w:rPr>
              <w:t>Unless otherwise stated, the following discussion is based on the characterization described above.  The discussion in this section assumes that there is a significant possibility of a significant loss of principal on an investment in the securities.</w:t>
            </w:r>
          </w:p>
          <w:p w14:paraId="225C48AA" w14:textId="77777777" w:rsidR="00F17517" w:rsidRPr="00DF7ED9" w:rsidRDefault="00F17517" w:rsidP="00CD1E9C">
            <w:pPr>
              <w:pStyle w:val="FontBodyRegularNoJustify"/>
              <w:rPr>
                <w:color w:val="auto"/>
                <w:szCs w:val="16"/>
              </w:rPr>
            </w:pPr>
          </w:p>
          <w:p w14:paraId="495C5C6D" w14:textId="263EB49E" w:rsidR="00F17517" w:rsidRPr="00DF7ED9" w:rsidRDefault="00C24AAF" w:rsidP="00CD1E9C">
            <w:pPr>
              <w:pStyle w:val="FontBodyRegularNoJustify"/>
              <w:rPr>
                <w:color w:val="auto"/>
                <w:szCs w:val="16"/>
              </w:rPr>
            </w:pPr>
            <w:r w:rsidRPr="00DF7ED9">
              <w:rPr>
                <w:color w:val="auto"/>
                <w:szCs w:val="16"/>
              </w:rPr>
              <w:t xml:space="preserve">We will not attempt to ascertain whether any issuer of a component stock included in the </w:t>
            </w:r>
            <w:r w:rsidR="004B51F0" w:rsidRPr="00DF7ED9">
              <w:rPr>
                <w:color w:val="auto"/>
                <w:szCs w:val="16"/>
              </w:rPr>
              <w:t>underlying index</w:t>
            </w:r>
            <w:r w:rsidRPr="00DF7ED9">
              <w:rPr>
                <w:color w:val="auto"/>
                <w:szCs w:val="16"/>
              </w:rPr>
              <w:t xml:space="preserve"> would be treated as a “passive foreign investment company” (“PFIC”), within the meaning of Section 1297 of the Code, or a United </w:t>
            </w:r>
            <w:r w:rsidRPr="00DF7ED9">
              <w:rPr>
                <w:color w:val="auto"/>
                <w:szCs w:val="16"/>
              </w:rPr>
              <w:lastRenderedPageBreak/>
              <w:t xml:space="preserve">States real property holding corporation, within the meaning of Section 897(c) of the Code. If the issuer of one or more </w:t>
            </w:r>
            <w:r w:rsidR="006B6182">
              <w:rPr>
                <w:color w:val="auto"/>
                <w:szCs w:val="16"/>
              </w:rPr>
              <w:t xml:space="preserve">component </w:t>
            </w:r>
            <w:r w:rsidRPr="00DF7ED9">
              <w:rPr>
                <w:color w:val="auto"/>
                <w:szCs w:val="16"/>
              </w:rPr>
              <w:t xml:space="preserve">stocks included in the </w:t>
            </w:r>
            <w:r w:rsidR="004B51F0" w:rsidRPr="00DF7ED9">
              <w:rPr>
                <w:color w:val="auto"/>
                <w:szCs w:val="16"/>
              </w:rPr>
              <w:t>underlying index</w:t>
            </w:r>
            <w:r w:rsidRPr="00DF7ED9">
              <w:rPr>
                <w:color w:val="auto"/>
                <w:szCs w:val="16"/>
              </w:rPr>
              <w:t xml:space="preserve"> were so treated, certain adverse U.S. federal income tax consequences could possibly apply to a holder of the securities. You should refer to information filed with the SEC by the issuers of the component stocks included in the </w:t>
            </w:r>
            <w:r w:rsidR="004B51F0" w:rsidRPr="00DF7ED9">
              <w:rPr>
                <w:color w:val="auto"/>
                <w:szCs w:val="16"/>
              </w:rPr>
              <w:t>underlying index</w:t>
            </w:r>
            <w:r w:rsidRPr="00DF7ED9">
              <w:rPr>
                <w:color w:val="auto"/>
                <w:szCs w:val="16"/>
              </w:rPr>
              <w:t xml:space="preserve"> and consult your tax advisor regarding the possible consequences to you, if any, if any issuer of a component stock included in the </w:t>
            </w:r>
            <w:r w:rsidR="004B51F0" w:rsidRPr="00DF7ED9">
              <w:rPr>
                <w:color w:val="auto"/>
                <w:szCs w:val="16"/>
              </w:rPr>
              <w:t>underlying index</w:t>
            </w:r>
            <w:r w:rsidRPr="00DF7ED9">
              <w:rPr>
                <w:color w:val="auto"/>
                <w:szCs w:val="16"/>
              </w:rPr>
              <w:t xml:space="preserve"> is or becomes a PFIC or is or becomes a United States real property holding corporation.</w:t>
            </w:r>
          </w:p>
          <w:p w14:paraId="7752A40D" w14:textId="77777777" w:rsidR="00F17517" w:rsidRPr="00DF7ED9" w:rsidRDefault="00F17517" w:rsidP="00CD1E9C">
            <w:pPr>
              <w:pStyle w:val="FontBodyRegularNoJustify"/>
              <w:rPr>
                <w:color w:val="auto"/>
                <w:szCs w:val="16"/>
              </w:rPr>
            </w:pPr>
          </w:p>
          <w:p w14:paraId="386C7A7D" w14:textId="77777777" w:rsidR="00F17517" w:rsidRPr="00DF7ED9" w:rsidRDefault="00C24AAF" w:rsidP="00CD1E9C">
            <w:pPr>
              <w:pStyle w:val="FontBodyRegularJustify"/>
              <w:rPr>
                <w:color w:val="auto"/>
                <w:szCs w:val="16"/>
              </w:rPr>
            </w:pPr>
            <w:r w:rsidRPr="00DF7ED9">
              <w:rPr>
                <w:b/>
                <w:bCs/>
                <w:color w:val="auto"/>
                <w:szCs w:val="16"/>
              </w:rPr>
              <w:t>U.S. Holders</w:t>
            </w:r>
          </w:p>
          <w:p w14:paraId="34A3D950" w14:textId="77777777" w:rsidR="00F17517" w:rsidRPr="00DF7ED9" w:rsidRDefault="00F17517" w:rsidP="00CD1E9C">
            <w:pPr>
              <w:pStyle w:val="FontBodyRegularNoJustify"/>
              <w:rPr>
                <w:color w:val="auto"/>
                <w:szCs w:val="16"/>
              </w:rPr>
            </w:pPr>
          </w:p>
          <w:p w14:paraId="0CD4ABFB" w14:textId="77777777" w:rsidR="00F17517" w:rsidRPr="00DF7ED9" w:rsidRDefault="00C24AAF" w:rsidP="00CD1E9C">
            <w:pPr>
              <w:pStyle w:val="FontBodyRegularNoJustify"/>
              <w:rPr>
                <w:color w:val="auto"/>
                <w:szCs w:val="16"/>
              </w:rPr>
            </w:pPr>
            <w:r w:rsidRPr="00DF7ED9">
              <w:rPr>
                <w:color w:val="auto"/>
                <w:szCs w:val="16"/>
              </w:rPr>
              <w:t>Although the U.S. federal income tax treatment of any contingent quarterly coupon on the securities is uncertain, we intend to take the position, and the following discussion assumes, that any contingent quarterly coupon constitutes taxable ordinary income to a U.S. Holder at the time received or accrued in accordance with the U.S. Holder’s regular method of accounting.  By purchasing the securities you agree, in the absence of an administrative determination or judicial ruling to the contrary, to treat any contingent quarterly coupon as described in the preceding sentence.</w:t>
            </w:r>
          </w:p>
          <w:p w14:paraId="55D66E76" w14:textId="77777777" w:rsidR="00F17517" w:rsidRPr="00DF7ED9" w:rsidRDefault="00F17517" w:rsidP="00CD1E9C">
            <w:pPr>
              <w:pStyle w:val="FontBodyRegularJustify"/>
              <w:rPr>
                <w:color w:val="auto"/>
                <w:szCs w:val="16"/>
              </w:rPr>
            </w:pPr>
          </w:p>
          <w:p w14:paraId="1E587A23" w14:textId="77777777" w:rsidR="00F17517" w:rsidRPr="00DF7ED9" w:rsidRDefault="00C24AAF" w:rsidP="00CD1E9C">
            <w:pPr>
              <w:pStyle w:val="FontBodyRegularNoJustify"/>
              <w:rPr>
                <w:color w:val="auto"/>
                <w:szCs w:val="16"/>
              </w:rPr>
            </w:pPr>
            <w:r w:rsidRPr="00DF7ED9">
              <w:rPr>
                <w:color w:val="auto"/>
                <w:szCs w:val="16"/>
              </w:rPr>
              <w:t>Upon receipt of a cash payment at maturity or upon a sale, exchange, or redemption of the securities prior to maturity, a U.S. Holder generally will recognize capital gain or loss equal to the difference between the amount realized (other than amounts representing any contingent quarterly coupon, which would be taxed as described above) and the U.S. Holder’s tax basis in the securities.  A U.S. Holder’s tax basis in the securities will equal the amount paid by that holder to acquire them. This capital gain or loss generally will be long-term capital gain or loss if the U.S. Holder held the securities for more than one year. The deductibility of capital losses is subject to limitations.</w:t>
            </w:r>
          </w:p>
          <w:p w14:paraId="43525F51" w14:textId="77777777" w:rsidR="00F17517" w:rsidRPr="00DF7ED9" w:rsidRDefault="00F17517" w:rsidP="00CD1E9C">
            <w:pPr>
              <w:pStyle w:val="FontBodyRegularJustify"/>
              <w:rPr>
                <w:color w:val="auto"/>
                <w:szCs w:val="16"/>
              </w:rPr>
            </w:pPr>
          </w:p>
          <w:p w14:paraId="4A1F6EA8" w14:textId="77777777" w:rsidR="00F17517" w:rsidRPr="00DF7ED9" w:rsidRDefault="00C24AAF" w:rsidP="00CD1E9C">
            <w:pPr>
              <w:pStyle w:val="FontBodyRegularNoJustify"/>
              <w:rPr>
                <w:color w:val="auto"/>
                <w:szCs w:val="16"/>
              </w:rPr>
            </w:pPr>
            <w:r w:rsidRPr="00DF7ED9">
              <w:rPr>
                <w:i/>
                <w:iCs/>
                <w:color w:val="auto"/>
                <w:szCs w:val="16"/>
              </w:rPr>
              <w:t>Alternative Tax Treatments.</w:t>
            </w:r>
            <w:r w:rsidRPr="00DF7ED9">
              <w:rPr>
                <w:color w:val="auto"/>
                <w:szCs w:val="16"/>
              </w:rPr>
              <w:t xml:space="preserve"> Due to the absence of authorities that directly address the proper tax treatment of the securities, prospective investors are urged to consult their tax advisors regarding all possible alternative tax treatments of an investment in the securities.  In particular, the IRS could seek to subject the securities to the Treasury regulations governing contingent payment debt instruments.  If the IRS were successful in that regard, the timing and character of income on the securities would be affected significantly. Among other things, a U.S. Holder would be required to accrue original issue discount every year at a “comparable yield” determined at the time of issuance. In addition, any gain realized by a U.S. Holder at maturity or upon a sale, exchange, or redemption of the securities generally would be treated as ordinary income, and any loss realized at maturity or upon a sale, exchange, or redemption of the securities generally would be treated as ordinary loss to the extent of the U.S. Holder’s prior accruals of original issue discount, and as capital loss thereafter.</w:t>
            </w:r>
          </w:p>
          <w:p w14:paraId="32E500C5" w14:textId="77777777" w:rsidR="00F17517" w:rsidRPr="00DF7ED9" w:rsidRDefault="00F17517" w:rsidP="00CD1E9C">
            <w:pPr>
              <w:pStyle w:val="FontBodyRegularNoJustify"/>
              <w:rPr>
                <w:color w:val="auto"/>
                <w:szCs w:val="16"/>
              </w:rPr>
            </w:pPr>
          </w:p>
          <w:p w14:paraId="165B41F6" w14:textId="77777777" w:rsidR="00F17517" w:rsidRPr="00DF7ED9" w:rsidRDefault="00C24AAF" w:rsidP="00CD1E9C">
            <w:pPr>
              <w:pStyle w:val="FontBodyRegularNoJustify"/>
              <w:rPr>
                <w:color w:val="auto"/>
                <w:szCs w:val="16"/>
              </w:rPr>
            </w:pPr>
            <w:r w:rsidRPr="00DF7ED9">
              <w:rPr>
                <w:color w:val="auto"/>
                <w:szCs w:val="16"/>
              </w:rPr>
              <w:t>In addition, it is possible that the securities could be treated as a unit consisting of a deposit and a put option written by the security holder, in which case the timing and character of income on the securities would be affected significantly.</w:t>
            </w:r>
          </w:p>
          <w:p w14:paraId="45FE3D47" w14:textId="77777777" w:rsidR="00F17517" w:rsidRPr="00DF7ED9" w:rsidRDefault="00F17517" w:rsidP="00CD1E9C">
            <w:pPr>
              <w:pStyle w:val="FontBodyRegularJustify"/>
              <w:rPr>
                <w:color w:val="auto"/>
                <w:szCs w:val="16"/>
              </w:rPr>
            </w:pPr>
          </w:p>
          <w:p w14:paraId="4581AE80" w14:textId="77777777" w:rsidR="00F17517" w:rsidRPr="00DF7ED9" w:rsidRDefault="00C24AAF" w:rsidP="00CD1E9C">
            <w:pPr>
              <w:pStyle w:val="FontBodyRegularNoJustify"/>
              <w:rPr>
                <w:color w:val="auto"/>
                <w:szCs w:val="16"/>
              </w:rPr>
            </w:pPr>
            <w:r w:rsidRPr="00DF7ED9">
              <w:rPr>
                <w:color w:val="auto"/>
                <w:szCs w:val="16"/>
              </w:rPr>
              <w:t>The IRS released Notice 2008-2 (the “Notice”), which sought comments from the public on the taxation of financial instruments currently taxed as “prepaid forward contracts.”  This Notice addresses instruments such as the securities.  According to the Notice, the IRS and Treasury are considering whether a holder of an instrument such as the securities should be required to accrue ordinary income on a current basis, regardless of whether any payments are made prior to maturity.  It is not possible to determine what guidance the IRS and Treasury will ultimately issue, if any.  Any such future guidance may affect the amount, timing and character of income, gain, or loss in respect of the securities, possibly with retroactive effect.</w:t>
            </w:r>
          </w:p>
          <w:p w14:paraId="1B1038F2" w14:textId="77777777" w:rsidR="00F17517" w:rsidRPr="00DF7ED9" w:rsidRDefault="00F17517" w:rsidP="00CD1E9C">
            <w:pPr>
              <w:pStyle w:val="FontBodyRegularNoJustify"/>
              <w:rPr>
                <w:color w:val="auto"/>
                <w:szCs w:val="16"/>
              </w:rPr>
            </w:pPr>
          </w:p>
          <w:p w14:paraId="58656A96" w14:textId="7DC1FAD4" w:rsidR="00F17517" w:rsidRPr="00DF7ED9" w:rsidRDefault="00C24AAF" w:rsidP="00CD1E9C">
            <w:pPr>
              <w:pStyle w:val="FontBodyRegularNoJustify"/>
              <w:rPr>
                <w:color w:val="auto"/>
                <w:szCs w:val="16"/>
              </w:rPr>
            </w:pPr>
            <w:r w:rsidRPr="00DF7ED9">
              <w:rPr>
                <w:color w:val="auto"/>
                <w:szCs w:val="16"/>
              </w:rPr>
              <w:t xml:space="preserve">The IRS and Treasury are also considering additional issues, including whether additional gain or loss from such instruments should be treated as ordinary or capital, whether foreign holders of such instruments should be subject to withholding tax on any deemed income accruals, whether Section 1260 of the Code, concerning certain “constructive ownership transactions,” generally applies or should generally apply to such instruments, and whether any of these determinations depend on the nature of the </w:t>
            </w:r>
            <w:r w:rsidR="004B51F0" w:rsidRPr="00DF7ED9">
              <w:rPr>
                <w:color w:val="auto"/>
                <w:szCs w:val="16"/>
              </w:rPr>
              <w:t xml:space="preserve">underlying </w:t>
            </w:r>
            <w:r w:rsidRPr="00DF7ED9">
              <w:rPr>
                <w:color w:val="auto"/>
                <w:szCs w:val="16"/>
              </w:rPr>
              <w:t>asset.</w:t>
            </w:r>
          </w:p>
          <w:p w14:paraId="45B6F20E" w14:textId="77777777" w:rsidR="00F17517" w:rsidRPr="00DF7ED9" w:rsidRDefault="00F17517" w:rsidP="00CD1E9C">
            <w:pPr>
              <w:pStyle w:val="FontBodyRegularNoJustify"/>
              <w:rPr>
                <w:color w:val="auto"/>
                <w:szCs w:val="16"/>
              </w:rPr>
            </w:pPr>
          </w:p>
          <w:p w14:paraId="1670DCB4" w14:textId="77777777" w:rsidR="00F17517" w:rsidRPr="00DF7ED9" w:rsidRDefault="00C24AAF" w:rsidP="00CD1E9C">
            <w:pPr>
              <w:pStyle w:val="FontBodyRegularNoJustify"/>
              <w:rPr>
                <w:color w:val="auto"/>
                <w:szCs w:val="16"/>
              </w:rPr>
            </w:pPr>
            <w:r w:rsidRPr="00DF7ED9">
              <w:rPr>
                <w:color w:val="auto"/>
                <w:szCs w:val="16"/>
              </w:rPr>
              <w:t xml:space="preserve">In addition, proposed Treasury regulations require the accrual of income on a current basis for contingent payments made under certain notional principal contracts. The preamble to the regulations states that the “wait and see” method of accounting does not properly reflect the economic accrual of income on those contracts, and requires current accrual of income for some contracts already in existence. While the proposed regulations do not apply to prepaid forward contracts, the preamble to the proposed regulations expresses the view that similar timing issues exist in the case of prepaid forward contracts. If the IRS or Treasury publishes future guidance requiring current economic accrual for </w:t>
            </w:r>
            <w:r w:rsidRPr="00DF7ED9">
              <w:rPr>
                <w:color w:val="auto"/>
                <w:szCs w:val="16"/>
              </w:rPr>
              <w:lastRenderedPageBreak/>
              <w:t>contingent payments on prepaid forward contracts, it is possible that you could be required to accrue income over the term of the securities.</w:t>
            </w:r>
          </w:p>
          <w:p w14:paraId="02CFA229" w14:textId="77777777" w:rsidR="00F17517" w:rsidRPr="00DF7ED9" w:rsidRDefault="00F17517" w:rsidP="00CD1E9C">
            <w:pPr>
              <w:pStyle w:val="FontBodyRegularJustify"/>
              <w:rPr>
                <w:color w:val="auto"/>
                <w:szCs w:val="16"/>
              </w:rPr>
            </w:pPr>
          </w:p>
          <w:p w14:paraId="728CBE48" w14:textId="77777777" w:rsidR="00F17517" w:rsidRPr="00DF7ED9" w:rsidRDefault="00C24AAF" w:rsidP="00CD1E9C">
            <w:pPr>
              <w:pStyle w:val="FontBodyRegularNoJustify"/>
              <w:rPr>
                <w:color w:val="auto"/>
                <w:szCs w:val="16"/>
              </w:rPr>
            </w:pPr>
            <w:r w:rsidRPr="00DF7ED9">
              <w:rPr>
                <w:color w:val="auto"/>
                <w:szCs w:val="16"/>
              </w:rPr>
              <w:t>Because of the absence of authority regarding the appropriate tax characterization of the securities, it is also possible that the IRS could seek to characterize the securities in a manner that results in tax consequences that are different from those described above. For example, the IRS could possibly assert that any gain or loss that a holder may recognize at maturity or upon the sale, exchange, or redemption of the securities should be treated as ordinary gain or loss.</w:t>
            </w:r>
          </w:p>
          <w:p w14:paraId="1C6CC3A0" w14:textId="77777777" w:rsidR="00F17517" w:rsidRPr="00DF7ED9" w:rsidRDefault="00F17517" w:rsidP="00CD1E9C">
            <w:pPr>
              <w:pStyle w:val="FontBodyRegularJustify"/>
              <w:rPr>
                <w:color w:val="auto"/>
                <w:szCs w:val="16"/>
              </w:rPr>
            </w:pPr>
          </w:p>
          <w:p w14:paraId="13999816" w14:textId="77777777" w:rsidR="00F17517" w:rsidRPr="00DF7ED9" w:rsidRDefault="00C24AAF" w:rsidP="00CD1E9C">
            <w:pPr>
              <w:pStyle w:val="FontBodyRegularNoJustify"/>
              <w:rPr>
                <w:color w:val="auto"/>
                <w:szCs w:val="16"/>
              </w:rPr>
            </w:pPr>
            <w:r w:rsidRPr="00DF7ED9">
              <w:rPr>
                <w:color w:val="auto"/>
                <w:szCs w:val="16"/>
              </w:rPr>
              <w:t xml:space="preserve">Because the </w:t>
            </w:r>
            <w:r w:rsidR="004B51F0" w:rsidRPr="00DF7ED9">
              <w:rPr>
                <w:color w:val="auto"/>
                <w:szCs w:val="16"/>
              </w:rPr>
              <w:t>underlying index</w:t>
            </w:r>
            <w:r w:rsidRPr="00DF7ED9">
              <w:rPr>
                <w:color w:val="auto"/>
                <w:szCs w:val="16"/>
              </w:rPr>
              <w:t xml:space="preserve"> is an index that periodically rebalances, it is possible that the securities could be treated as a series of contingent income-bearing single financial contracts, each of which matures on the next rebalancing date.  If the securities were properly characterized in such a manner, a U.S. Holder would be treated as disposing of the securities on each rebalancing date in return for new securities that mature on the next rebalancing date, and a U.S. Holder would accordingly likely recognize capital gain or loss on each rebalancing date equal to the difference between the holder’s tax basis in the securities (which would be adjusted to take into account any prior recognition of gain or loss) and the fair market value of the securities on such date.</w:t>
            </w:r>
          </w:p>
          <w:p w14:paraId="066C37FF" w14:textId="77777777" w:rsidR="00F17517" w:rsidRPr="00DF7ED9" w:rsidRDefault="00F17517" w:rsidP="00CD1E9C">
            <w:pPr>
              <w:pStyle w:val="FontBodyRegularJustify"/>
              <w:rPr>
                <w:color w:val="auto"/>
                <w:szCs w:val="16"/>
              </w:rPr>
            </w:pPr>
          </w:p>
          <w:p w14:paraId="00ACE75D" w14:textId="77777777" w:rsidR="00F17517" w:rsidRPr="00DF7ED9" w:rsidRDefault="00C24AAF" w:rsidP="00CD1E9C">
            <w:pPr>
              <w:pStyle w:val="FontBodyRegularNoJustify"/>
              <w:rPr>
                <w:color w:val="auto"/>
                <w:szCs w:val="16"/>
              </w:rPr>
            </w:pPr>
            <w:r w:rsidRPr="00DF7ED9">
              <w:rPr>
                <w:b/>
                <w:bCs/>
                <w:color w:val="auto"/>
                <w:szCs w:val="16"/>
              </w:rPr>
              <w:t>Non-U.S. Holders</w:t>
            </w:r>
          </w:p>
          <w:p w14:paraId="04349755" w14:textId="77777777" w:rsidR="00F17517" w:rsidRPr="00DF7ED9" w:rsidRDefault="00F17517" w:rsidP="00CD1E9C">
            <w:pPr>
              <w:pStyle w:val="FontBodyRegularNoJustify"/>
              <w:rPr>
                <w:color w:val="auto"/>
                <w:szCs w:val="16"/>
              </w:rPr>
            </w:pPr>
          </w:p>
          <w:p w14:paraId="709E425D" w14:textId="77777777" w:rsidR="00F17517" w:rsidRPr="00DF7ED9" w:rsidRDefault="00C24AAF" w:rsidP="00CD1E9C">
            <w:pPr>
              <w:pStyle w:val="FontBodyRegularNoJustify"/>
              <w:rPr>
                <w:color w:val="auto"/>
                <w:szCs w:val="16"/>
              </w:rPr>
            </w:pPr>
            <w:r w:rsidRPr="00DF7ED9">
              <w:rPr>
                <w:color w:val="auto"/>
                <w:szCs w:val="16"/>
              </w:rPr>
              <w:t>Because the U.S. federal income tax treatment of the securities (including any contingent quarterly coupon) is uncertain, we (or the applicable paying agent) will withhold U.S. federal income tax at a 30% rate (or at a lower rate under an applicable income tax treaty) on the entire amount of any contingent quarterly coupon made unless such payments are effectively connected with the conduct by the Non-U.S. Holder of a trade or business in the U.S. (in which case, to avoid withholding, the Non-U.S. Holder will be required to provide a Form W-8ECI). We (or the applicable paying agent) will not pay any additional amounts in respect of such withholding. To claim benefits under an income tax treaty, a Non-U.S. Holder must obtain a taxpayer identification number and certify as to its eligibility under the appropriate treaty’s limitations on benefits article, if applicable. In addition, special rules may apply to claims for treaty benefits made by Non-U.S. Holders that are entities rather than individuals. The availability of a lower rate of withholding under an applicable income tax treaty will depend on whether such rate applies to the characterization of the payments under U.S. federal income tax laws. A Non-U.S. Holder that is eligible for a reduced rate of U.S. federal withholding tax pursuant to an income tax treaty may obtain a refund of any excess amounts withheld by filing an appropriate claim for refund with the IRS.</w:t>
            </w:r>
          </w:p>
          <w:p w14:paraId="0264CEC0" w14:textId="77777777" w:rsidR="00F17517" w:rsidRPr="00DF7ED9" w:rsidRDefault="00F17517" w:rsidP="00CD1E9C">
            <w:pPr>
              <w:pStyle w:val="FontBodyRegularNoJustify"/>
              <w:rPr>
                <w:color w:val="auto"/>
                <w:szCs w:val="16"/>
              </w:rPr>
            </w:pPr>
          </w:p>
          <w:p w14:paraId="705C519F" w14:textId="77777777" w:rsidR="00F17517" w:rsidRPr="00DF7ED9" w:rsidRDefault="00C24AAF" w:rsidP="00CD1E9C">
            <w:pPr>
              <w:pStyle w:val="FontBodyRegularNoJustify"/>
              <w:rPr>
                <w:color w:val="auto"/>
                <w:szCs w:val="16"/>
              </w:rPr>
            </w:pPr>
            <w:r w:rsidRPr="00DF7ED9">
              <w:rPr>
                <w:color w:val="auto"/>
                <w:szCs w:val="16"/>
              </w:rPr>
              <w:t>Except as discussed below, a Non-U.S. Holder generally will not be subject to U.S. federal income or withholding tax for amounts paid in respect of the securities (not including, for the avoidance of doubt, amounts representing any contingent quarterly coupon which would be subject to the rules discussed in the previous paragraph) upon the sale, exchange, or redemption of the securities or their settlement at maturity, provided that the Non-U.S. Holder complies with applicable certification requirements and that the payment is not effectively connected with the conduct by the Non-U.S. Holder of a U.S. trade or business. Notwithstanding the foregoing, gain from the sale, exchange, or redemption of the securities or their settlement at maturity may be subject to U.S. federal income tax if that Non-U.S. Holder is a non-resident alien individual and is present in the U.S. for 183 days or more during the taxable year of the sale, exchange, redemption, or settlement and certain other conditions are satisfied.</w:t>
            </w:r>
          </w:p>
          <w:p w14:paraId="20B4319C" w14:textId="77777777" w:rsidR="00F17517" w:rsidRPr="00DF7ED9" w:rsidRDefault="00F17517" w:rsidP="00CD1E9C">
            <w:pPr>
              <w:pStyle w:val="FontBodyRegularNoJustify"/>
              <w:rPr>
                <w:color w:val="auto"/>
                <w:szCs w:val="16"/>
              </w:rPr>
            </w:pPr>
          </w:p>
          <w:p w14:paraId="3BDFE6FE" w14:textId="77777777" w:rsidR="00F17517" w:rsidRPr="00DF7ED9" w:rsidRDefault="00C24AAF" w:rsidP="00CD1E9C">
            <w:pPr>
              <w:pStyle w:val="FontBodyRegularNoJustify"/>
              <w:rPr>
                <w:color w:val="auto"/>
                <w:szCs w:val="16"/>
              </w:rPr>
            </w:pPr>
            <w:r w:rsidRPr="00DF7ED9">
              <w:rPr>
                <w:color w:val="auto"/>
                <w:szCs w:val="16"/>
              </w:rPr>
              <w:t>If a Non-U.S. Holder of the securities is engaged in the conduct of a trade or business within the U.S. and if any contingent quarterly coupon and gain realized on the settlement at maturity, or upon sale, exchange, or redemption of the securities, is effectively connected with the conduct of such trade or business (and, if certain tax treaties apply, is attributable to a permanent establishment maintained by the Non-U.S. Holder in the U.S.), the Non-U.S. Holder, although exempt from U.S. federal withholding tax, generally will be subject to U.S. federal income tax on such contingent quarterly coupon and gain on a net income basis in the same manner as if it were a U.S. Holder.  Such Non-U.S. Holders should read the material under the heading “—U.S. Holders,” for a description of the U.S. federal income tax consequences of acquiring, owning, and disposing of the securities.  In addition, if such Non-U.S. Holder is a foreign corporation, it may also be subject to a branch profits tax equal to 30% (or such lower rate provided by any applicable tax treaty) of a portion of its earnings and profits for the taxable year that are effectively connected with its conduct of a trade or business in the U.S., subject to certain adjustments.</w:t>
            </w:r>
          </w:p>
          <w:p w14:paraId="17AD7664" w14:textId="77777777" w:rsidR="00F17517" w:rsidRPr="00DF7ED9" w:rsidRDefault="00F17517" w:rsidP="00CD1E9C">
            <w:pPr>
              <w:pStyle w:val="FontBodyRegularNoJustify"/>
              <w:rPr>
                <w:color w:val="auto"/>
                <w:szCs w:val="16"/>
              </w:rPr>
            </w:pPr>
          </w:p>
          <w:p w14:paraId="74A3A52E" w14:textId="0FD115CC" w:rsidR="00F17517" w:rsidRPr="00DF7ED9" w:rsidRDefault="00C24AAF" w:rsidP="00CD1E9C">
            <w:pPr>
              <w:pStyle w:val="FontBodyRegularNoJustify"/>
              <w:rPr>
                <w:color w:val="auto"/>
                <w:szCs w:val="16"/>
              </w:rPr>
            </w:pPr>
            <w:r w:rsidRPr="00DF7ED9">
              <w:rPr>
                <w:color w:val="auto"/>
                <w:szCs w:val="16"/>
              </w:rPr>
              <w:t xml:space="preserve">A “dividend equivalent” payment is treated as a dividend from sources within the United States and such payments generally would be subject to a 30% U.S. withholding tax if paid to a Non-U.S. Holder.  Under Treasury regulations, payments (including deemed payments) with respect to equity-linked instruments (“ELIs”) that are “specified ELIs” may </w:t>
            </w:r>
            <w:r w:rsidRPr="00DF7ED9">
              <w:rPr>
                <w:color w:val="auto"/>
                <w:szCs w:val="16"/>
              </w:rPr>
              <w:lastRenderedPageBreak/>
              <w:t>be treated as dividend equivalents if such specified ELIs reference an interest in an “</w:t>
            </w:r>
            <w:r w:rsidR="004B51F0" w:rsidRPr="00DF7ED9">
              <w:rPr>
                <w:color w:val="auto"/>
                <w:szCs w:val="16"/>
              </w:rPr>
              <w:t xml:space="preserve">underlying </w:t>
            </w:r>
            <w:r w:rsidRPr="00DF7ED9">
              <w:rPr>
                <w:color w:val="auto"/>
                <w:szCs w:val="16"/>
              </w:rPr>
              <w:t>security,” which is generally any interest in an entity taxable as a corporation for U.S. federal income tax purposes if a payment with respect to such interest could give rise to a U.S. source dividend. However, IRS guidance provides that withholding on dividend equivalent payments will not apply to specified ELIs that are not delta-one instruments and that are issued before January 1, 202</w:t>
            </w:r>
            <w:r w:rsidR="00BA769A">
              <w:rPr>
                <w:color w:val="auto"/>
                <w:szCs w:val="16"/>
              </w:rPr>
              <w:t>7</w:t>
            </w:r>
            <w:r w:rsidRPr="00DF7ED9">
              <w:rPr>
                <w:color w:val="auto"/>
                <w:szCs w:val="16"/>
              </w:rPr>
              <w:t xml:space="preserve">. Based on our determination that the securities are not delta-one instruments, Non-U.S. Holders should not be subject to withholding on dividend equivalent payments, if any, under the securities. However, it is possible that the securities could be treated as deemed reissued for U.S. federal income tax purposes upon the occurrence of certain events affecting the </w:t>
            </w:r>
            <w:r w:rsidR="004B51F0" w:rsidRPr="00DF7ED9">
              <w:rPr>
                <w:color w:val="auto"/>
                <w:szCs w:val="16"/>
              </w:rPr>
              <w:t>underlying index</w:t>
            </w:r>
            <w:r w:rsidRPr="00DF7ED9">
              <w:rPr>
                <w:color w:val="auto"/>
                <w:szCs w:val="16"/>
              </w:rPr>
              <w:t xml:space="preserve"> or the securities, and following such occurrence the securities could be treated as subject to withholding on dividend equivalent payments. Non-U.S. Holders that enter, or have entered, into other transactions in respect of the </w:t>
            </w:r>
            <w:r w:rsidR="004B51F0" w:rsidRPr="00DF7ED9">
              <w:rPr>
                <w:color w:val="auto"/>
                <w:szCs w:val="16"/>
              </w:rPr>
              <w:t>underlying index</w:t>
            </w:r>
            <w:r w:rsidRPr="00DF7ED9">
              <w:rPr>
                <w:color w:val="auto"/>
                <w:szCs w:val="16"/>
              </w:rPr>
              <w:t xml:space="preserve"> or the securities should consult their tax advisors as to the application of the dividend equivalent withholding tax in the context of the securities and their other transactions. If any payments are treated as dividend equivalents subject to withholding, we (or the applicable paying agent) would be entitled to withhold taxes without being required to pay any additional amounts with respect to amounts so withheld.</w:t>
            </w:r>
          </w:p>
          <w:p w14:paraId="4504C128" w14:textId="77777777" w:rsidR="00F17517" w:rsidRPr="00DF7ED9" w:rsidRDefault="00C24AAF" w:rsidP="00CD1E9C">
            <w:pPr>
              <w:pStyle w:val="FontBodyRegularNoJustify"/>
              <w:rPr>
                <w:color w:val="auto"/>
                <w:szCs w:val="16"/>
              </w:rPr>
            </w:pPr>
            <w:r w:rsidRPr="00DF7ED9">
              <w:rPr>
                <w:color w:val="auto"/>
                <w:szCs w:val="16"/>
              </w:rPr>
              <w:t xml:space="preserve"> </w:t>
            </w:r>
          </w:p>
          <w:p w14:paraId="627307A7" w14:textId="77777777" w:rsidR="00F17517" w:rsidRPr="00DF7ED9" w:rsidRDefault="00C24AAF" w:rsidP="00CD1E9C">
            <w:pPr>
              <w:pStyle w:val="FontBodyRegularNoJustify"/>
              <w:rPr>
                <w:color w:val="auto"/>
                <w:szCs w:val="16"/>
              </w:rPr>
            </w:pPr>
            <w:r w:rsidRPr="00DF7ED9">
              <w:rPr>
                <w:color w:val="auto"/>
                <w:szCs w:val="16"/>
              </w:rPr>
              <w:t>As discussed above, alternative characterizations of the securities for U.S. federal income tax purposes are possible.  Should an alternative characterization, by reason of change or clarification of the law, by regulation or otherwise, cause payments as to the securities to become subject to withholding tax in addition to the withholding tax described above, tax will be withheld at the applicable statutory rate. Prospective Non-U.S. Holders should consult their own tax advisors regarding the tax consequences of such alternative characterizations.</w:t>
            </w:r>
          </w:p>
          <w:p w14:paraId="71F96FA0" w14:textId="77777777" w:rsidR="00F17517" w:rsidRPr="00DF7ED9" w:rsidRDefault="00F17517" w:rsidP="00CD1E9C">
            <w:pPr>
              <w:pStyle w:val="FontBodyRegularNoJustify"/>
              <w:rPr>
                <w:color w:val="auto"/>
                <w:szCs w:val="16"/>
              </w:rPr>
            </w:pPr>
          </w:p>
          <w:p w14:paraId="093C44CA" w14:textId="77777777" w:rsidR="00F17517" w:rsidRPr="00DF7ED9" w:rsidRDefault="00C24AAF" w:rsidP="00CD1E9C">
            <w:pPr>
              <w:pStyle w:val="FontBodyRegularNoJustify"/>
              <w:rPr>
                <w:color w:val="auto"/>
                <w:szCs w:val="16"/>
              </w:rPr>
            </w:pPr>
            <w:r w:rsidRPr="00DF7ED9">
              <w:rPr>
                <w:i/>
                <w:iCs/>
                <w:color w:val="auto"/>
                <w:szCs w:val="16"/>
              </w:rPr>
              <w:t>U.S. Federal Estate Tax.</w:t>
            </w:r>
            <w:r w:rsidRPr="00DF7ED9">
              <w:rPr>
                <w:color w:val="auto"/>
                <w:szCs w:val="16"/>
              </w:rPr>
              <w:t xml:space="preserve"> Under current law, while the matter is not entirely clear, individual Non-U.S. Holders, and entities whose property is potentially includible in those individuals’ gross estates for U.S. federal estate tax purposes (for example, a trust funded by such an individual and with respect to which the individual has retained certain interests or powers), should note that, absent an applicable treaty benefit, a security is likely to be treated as U.S. situs property, subject to U.S. federal estate tax. These individuals and entities should consult their own tax advisors regarding the U.S. federal estate tax consequences of investing in a security.</w:t>
            </w:r>
          </w:p>
          <w:p w14:paraId="6827B001" w14:textId="77777777" w:rsidR="00F17517" w:rsidRPr="00DF7ED9" w:rsidRDefault="00F17517" w:rsidP="00CD1E9C">
            <w:pPr>
              <w:pStyle w:val="FontBodyRegularNoJustify"/>
              <w:rPr>
                <w:color w:val="auto"/>
                <w:szCs w:val="16"/>
              </w:rPr>
            </w:pPr>
          </w:p>
          <w:p w14:paraId="55980029" w14:textId="77777777" w:rsidR="00F17517" w:rsidRPr="00DF7ED9" w:rsidRDefault="00C24AAF" w:rsidP="00CD1E9C">
            <w:pPr>
              <w:pStyle w:val="FontBodyRegularNoJustify"/>
              <w:rPr>
                <w:color w:val="auto"/>
                <w:szCs w:val="16"/>
              </w:rPr>
            </w:pPr>
            <w:r w:rsidRPr="00DF7ED9">
              <w:rPr>
                <w:b/>
                <w:bCs/>
                <w:color w:val="auto"/>
                <w:szCs w:val="16"/>
              </w:rPr>
              <w:t>Backup Withholding and Information Reporting</w:t>
            </w:r>
          </w:p>
          <w:p w14:paraId="434B1104" w14:textId="77777777" w:rsidR="00F17517" w:rsidRPr="00DF7ED9" w:rsidRDefault="00F17517" w:rsidP="00CD1E9C">
            <w:pPr>
              <w:pStyle w:val="FontBodyRegularNoJustify"/>
              <w:rPr>
                <w:color w:val="auto"/>
                <w:szCs w:val="16"/>
              </w:rPr>
            </w:pPr>
          </w:p>
          <w:p w14:paraId="31D8A46A" w14:textId="77777777" w:rsidR="00F17517" w:rsidRPr="00DF7ED9" w:rsidRDefault="00C24AAF" w:rsidP="00CD1E9C">
            <w:pPr>
              <w:pStyle w:val="FontBodyRegularNoJustify"/>
              <w:rPr>
                <w:color w:val="000000"/>
                <w:szCs w:val="16"/>
              </w:rPr>
            </w:pPr>
            <w:r w:rsidRPr="00DF7ED9">
              <w:rPr>
                <w:color w:val="auto"/>
                <w:szCs w:val="16"/>
              </w:rPr>
              <w:t>Please see the discussion under “U.S. Federal Income Tax Considerations — General — Backup Withholding and Information Reporting” in the accompanying prospectus for a description of the applicability of the backup withholding and information reporting rules to payments made on the securities.</w:t>
            </w:r>
          </w:p>
        </w:tc>
      </w:tr>
      <w:tr w:rsidR="00BD53EC" w:rsidRPr="00DF7ED9" w14:paraId="198F3A7A" w14:textId="77777777" w:rsidTr="00261F14">
        <w:trPr>
          <w:cantSplit/>
          <w:tblCellSpacing w:w="0" w:type="dxa"/>
        </w:trPr>
        <w:tc>
          <w:tcPr>
            <w:tcW w:w="1262" w:type="pct"/>
            <w:shd w:val="clear" w:color="auto" w:fill="FFFFFF"/>
            <w:tcMar>
              <w:top w:w="0" w:type="dxa"/>
              <w:left w:w="64" w:type="dxa"/>
              <w:bottom w:w="0" w:type="dxa"/>
              <w:right w:w="64" w:type="dxa"/>
            </w:tcMar>
            <w:hideMark/>
          </w:tcPr>
          <w:p w14:paraId="275786C0" w14:textId="77777777" w:rsidR="002C6D14" w:rsidRPr="00DF7ED9" w:rsidRDefault="00C24AAF" w:rsidP="00CD1E9C">
            <w:pPr>
              <w:spacing w:after="66" w:line="200" w:lineRule="atLeast"/>
              <w:rPr>
                <w:color w:val="000000"/>
              </w:rPr>
            </w:pPr>
            <w:r w:rsidRPr="00DF7ED9">
              <w:rPr>
                <w:rFonts w:ascii="Arial" w:eastAsia="Arial" w:hAnsi="Arial" w:cs="Arial"/>
                <w:b/>
                <w:bCs/>
                <w:color w:val="296DC1"/>
                <w:sz w:val="16"/>
                <w:szCs w:val="16"/>
              </w:rPr>
              <w:lastRenderedPageBreak/>
              <w:t>Structuring the securities</w:t>
            </w:r>
            <w:r w:rsidR="003F76B8" w:rsidRPr="00DF7ED9">
              <w:rPr>
                <w:rFonts w:ascii="Arial" w:eastAsia="Arial" w:hAnsi="Arial" w:cs="Arial"/>
                <w:b/>
                <w:bCs/>
                <w:color w:val="296DC1"/>
                <w:sz w:val="16"/>
                <w:szCs w:val="16"/>
              </w:rPr>
              <w:t>:</w:t>
            </w:r>
          </w:p>
        </w:tc>
        <w:tc>
          <w:tcPr>
            <w:tcW w:w="3738" w:type="pct"/>
            <w:shd w:val="clear" w:color="auto" w:fill="FFFFFF"/>
            <w:tcMar>
              <w:top w:w="0" w:type="dxa"/>
              <w:left w:w="64" w:type="dxa"/>
              <w:bottom w:w="0" w:type="dxa"/>
              <w:right w:w="64" w:type="dxa"/>
            </w:tcMar>
            <w:hideMark/>
          </w:tcPr>
          <w:p w14:paraId="63D93037" w14:textId="14B3284B" w:rsidR="00AB43B2" w:rsidRPr="00DF7ED9" w:rsidRDefault="00C24AAF" w:rsidP="00261F14">
            <w:pPr>
              <w:spacing w:before="66" w:after="66" w:line="200" w:lineRule="atLeast"/>
              <w:rPr>
                <w:rFonts w:ascii="Arial" w:eastAsia="Arial" w:hAnsi="Arial" w:cs="Arial"/>
                <w:color w:val="000000"/>
                <w:sz w:val="16"/>
                <w:szCs w:val="16"/>
              </w:rPr>
            </w:pPr>
            <w:r w:rsidRPr="00DF7ED9">
              <w:rPr>
                <w:rFonts w:ascii="Arial" w:eastAsia="Arial" w:hAnsi="Arial" w:cs="Arial"/>
                <w:color w:val="000000"/>
                <w:sz w:val="16"/>
                <w:szCs w:val="16"/>
              </w:rPr>
              <w:t xml:space="preserve">The securities are our debt securities, the return on which is linked to the performance of the </w:t>
            </w:r>
            <w:r w:rsidR="004B51F0" w:rsidRPr="00DF7ED9">
              <w:rPr>
                <w:rFonts w:ascii="Arial" w:eastAsia="Arial" w:hAnsi="Arial" w:cs="Arial"/>
                <w:color w:val="000000"/>
                <w:sz w:val="16"/>
                <w:szCs w:val="16"/>
              </w:rPr>
              <w:t>underlying index</w:t>
            </w:r>
            <w:r w:rsidRPr="00DF7ED9">
              <w:rPr>
                <w:rFonts w:ascii="Arial" w:eastAsia="Arial" w:hAnsi="Arial" w:cs="Arial"/>
                <w:color w:val="000000"/>
                <w:sz w:val="16"/>
                <w:szCs w:val="16"/>
              </w:rPr>
              <w:t>. The related guarantee is BAC’s obligation. As is the case for all of our and BAC’s respective debt securities, including our market-linked notes, the economic terms of the securities reflect our and BAC’s actual or perceived creditworthiness at the time of pricing. In addition, because market-linked notes result in increased operational, funding and liability management costs to us and BAC, BAC typically borrows the funds under these types of notes at a rate, which we refer to in this pricing supplement as BAC’s internal funding rate, that is more favorable to BAC than the rate that it might pay for a conventional fixed or floating rate debt security. This generally relatively lower internal funding rate, which is reflected in the economic terms of the securities, along with the fees and charges associated with market-linked notes, result</w:t>
            </w:r>
            <w:r w:rsidR="00155852">
              <w:rPr>
                <w:rFonts w:ascii="Arial" w:eastAsia="Arial" w:hAnsi="Arial" w:cs="Arial"/>
                <w:color w:val="000000"/>
                <w:sz w:val="16"/>
                <w:szCs w:val="16"/>
              </w:rPr>
              <w:t>ed</w:t>
            </w:r>
            <w:r w:rsidRPr="00DF7ED9">
              <w:rPr>
                <w:rFonts w:ascii="Arial" w:eastAsia="Arial" w:hAnsi="Arial" w:cs="Arial"/>
                <w:color w:val="000000"/>
                <w:sz w:val="16"/>
                <w:szCs w:val="16"/>
              </w:rPr>
              <w:t xml:space="preserve"> in the initial estimated value of the securities on the pricing date being less than their price to public.</w:t>
            </w:r>
          </w:p>
          <w:p w14:paraId="1E1B9E3A" w14:textId="6DF6A83D" w:rsidR="00AA3B93" w:rsidRPr="00DF7ED9" w:rsidRDefault="00C24AAF" w:rsidP="00261F14">
            <w:pPr>
              <w:spacing w:before="66" w:after="66" w:line="200" w:lineRule="atLeast"/>
              <w:rPr>
                <w:rFonts w:ascii="Arial" w:eastAsia="Arial" w:hAnsi="Arial" w:cs="Arial"/>
                <w:color w:val="000000"/>
                <w:sz w:val="16"/>
                <w:szCs w:val="16"/>
              </w:rPr>
            </w:pPr>
            <w:r w:rsidRPr="00DF7ED9">
              <w:rPr>
                <w:rFonts w:ascii="Arial" w:eastAsia="Arial" w:hAnsi="Arial" w:cs="Arial"/>
                <w:color w:val="000000"/>
                <w:sz w:val="16"/>
                <w:szCs w:val="16"/>
              </w:rPr>
              <w:t>The initial estimated value of the securities</w:t>
            </w:r>
            <w:r w:rsidR="00155852">
              <w:rPr>
                <w:rFonts w:ascii="Arial" w:eastAsia="Arial" w:hAnsi="Arial" w:cs="Arial"/>
                <w:color w:val="000000"/>
                <w:sz w:val="16"/>
                <w:szCs w:val="16"/>
              </w:rPr>
              <w:t xml:space="preserve"> as of the pricing date</w:t>
            </w:r>
            <w:r w:rsidRPr="00DF7ED9">
              <w:rPr>
                <w:rFonts w:ascii="Arial" w:eastAsia="Arial" w:hAnsi="Arial" w:cs="Arial"/>
                <w:color w:val="000000"/>
                <w:sz w:val="16"/>
                <w:szCs w:val="16"/>
              </w:rPr>
              <w:t xml:space="preserve"> is set forth on the cover page of this pricing supplement. </w:t>
            </w:r>
          </w:p>
          <w:p w14:paraId="2491CE4B" w14:textId="77777777" w:rsidR="00AB43B2" w:rsidRPr="00DF7ED9" w:rsidRDefault="00C24AAF" w:rsidP="00261F14">
            <w:pPr>
              <w:spacing w:before="66" w:after="66" w:line="200" w:lineRule="atLeast"/>
              <w:rPr>
                <w:rFonts w:ascii="Arial" w:eastAsia="Arial" w:hAnsi="Arial" w:cs="Arial"/>
                <w:color w:val="000000"/>
                <w:sz w:val="16"/>
                <w:szCs w:val="16"/>
              </w:rPr>
            </w:pPr>
            <w:r w:rsidRPr="00DF7ED9">
              <w:rPr>
                <w:rFonts w:ascii="Arial" w:eastAsia="Arial" w:hAnsi="Arial" w:cs="Arial"/>
                <w:color w:val="000000"/>
                <w:sz w:val="16"/>
                <w:szCs w:val="16"/>
              </w:rPr>
              <w:t xml:space="preserve">In order to meet our payment obligations on the securities, at the time we issue the securities, we may choose to enter into certain hedging arrangements (which may include call options, put options or other derivatives) with BofAS or one of our other affiliates. The terms of these hedging arrangements are determined based upon terms provided by BofAS and its affiliates, and take into account a number of factors, including our and BAC’s creditworthiness, interest rate movements, the volatility of the </w:t>
            </w:r>
            <w:r w:rsidR="004B51F0" w:rsidRPr="00DF7ED9">
              <w:rPr>
                <w:rFonts w:ascii="Arial" w:eastAsia="Arial" w:hAnsi="Arial" w:cs="Arial"/>
                <w:color w:val="000000"/>
                <w:sz w:val="16"/>
                <w:szCs w:val="16"/>
              </w:rPr>
              <w:t>underlying index</w:t>
            </w:r>
            <w:r w:rsidRPr="00DF7ED9">
              <w:rPr>
                <w:rFonts w:ascii="Arial" w:eastAsia="Arial" w:hAnsi="Arial" w:cs="Arial"/>
                <w:color w:val="000000"/>
                <w:sz w:val="16"/>
                <w:szCs w:val="16"/>
              </w:rPr>
              <w:t xml:space="preserve">, the tenor of the </w:t>
            </w:r>
            <w:r w:rsidR="001541BF" w:rsidRPr="00DF7ED9">
              <w:rPr>
                <w:rFonts w:ascii="Arial" w:eastAsia="Arial" w:hAnsi="Arial" w:cs="Arial"/>
                <w:color w:val="000000"/>
                <w:sz w:val="16"/>
                <w:szCs w:val="16"/>
              </w:rPr>
              <w:t>securities</w:t>
            </w:r>
            <w:r w:rsidRPr="00DF7ED9">
              <w:rPr>
                <w:rFonts w:ascii="Arial" w:eastAsia="Arial" w:hAnsi="Arial" w:cs="Arial"/>
                <w:color w:val="000000"/>
                <w:sz w:val="16"/>
                <w:szCs w:val="16"/>
              </w:rPr>
              <w:t xml:space="preserve"> and the hedging arrangements. The economic terms of the </w:t>
            </w:r>
            <w:r w:rsidR="001541BF" w:rsidRPr="00DF7ED9">
              <w:rPr>
                <w:rFonts w:ascii="Arial" w:eastAsia="Arial" w:hAnsi="Arial" w:cs="Arial"/>
                <w:color w:val="000000"/>
                <w:sz w:val="16"/>
                <w:szCs w:val="16"/>
              </w:rPr>
              <w:t>securities</w:t>
            </w:r>
            <w:r w:rsidRPr="00DF7ED9">
              <w:rPr>
                <w:rFonts w:ascii="Arial" w:eastAsia="Arial" w:hAnsi="Arial" w:cs="Arial"/>
                <w:color w:val="000000"/>
                <w:sz w:val="16"/>
                <w:szCs w:val="16"/>
              </w:rPr>
              <w:t xml:space="preserve"> and their initial estimated value depend in part on the terms of these hedging arrangements. </w:t>
            </w:r>
          </w:p>
          <w:p w14:paraId="08A3E812" w14:textId="77777777" w:rsidR="00AB43B2" w:rsidRPr="00DF7ED9" w:rsidRDefault="00C24AAF" w:rsidP="00261F14">
            <w:pPr>
              <w:spacing w:before="66" w:after="66" w:line="200" w:lineRule="atLeast"/>
              <w:rPr>
                <w:rFonts w:ascii="Arial" w:eastAsia="Arial" w:hAnsi="Arial" w:cs="Arial"/>
                <w:color w:val="000000"/>
                <w:sz w:val="16"/>
                <w:szCs w:val="16"/>
              </w:rPr>
            </w:pPr>
            <w:r w:rsidRPr="00DF7ED9">
              <w:rPr>
                <w:rFonts w:ascii="Arial" w:eastAsia="Arial" w:hAnsi="Arial" w:cs="Arial"/>
                <w:color w:val="000000"/>
                <w:sz w:val="16"/>
                <w:szCs w:val="16"/>
              </w:rPr>
              <w:t xml:space="preserve">BofAS has advised us that the hedging arrangements will include hedging related charges, reflecting the costs associated with, and our affiliates’ profit earned from, these hedging arrangements. Since hedging entails risk and may be influenced by unpredictable market forces, actual profits or losses from these hedging transactions may be more or less than any expected amounts. </w:t>
            </w:r>
          </w:p>
          <w:p w14:paraId="130A9F55" w14:textId="11EC7E89" w:rsidR="002C6D14" w:rsidRPr="00DF7ED9" w:rsidRDefault="00C24AAF" w:rsidP="00261F14">
            <w:pPr>
              <w:spacing w:before="66" w:after="66" w:line="200" w:lineRule="atLeast"/>
              <w:rPr>
                <w:color w:val="000000"/>
              </w:rPr>
            </w:pPr>
            <w:r w:rsidRPr="00DF7ED9">
              <w:rPr>
                <w:rFonts w:ascii="Arial" w:eastAsia="Arial" w:hAnsi="Arial" w:cs="Arial"/>
                <w:color w:val="000000"/>
                <w:sz w:val="16"/>
                <w:szCs w:val="16"/>
              </w:rPr>
              <w:t xml:space="preserve">For further information, see “Risk Factors” beginning on page </w:t>
            </w:r>
            <w:r w:rsidR="0044592A" w:rsidRPr="00DF7ED9">
              <w:rPr>
                <w:rFonts w:ascii="Arial" w:eastAsia="Arial" w:hAnsi="Arial" w:cs="Arial"/>
                <w:color w:val="000000"/>
                <w:sz w:val="16"/>
                <w:szCs w:val="16"/>
              </w:rPr>
              <w:t>9</w:t>
            </w:r>
            <w:r w:rsidR="001541BF" w:rsidRPr="00DF7ED9">
              <w:rPr>
                <w:rFonts w:ascii="Arial" w:eastAsia="Arial" w:hAnsi="Arial" w:cs="Arial"/>
                <w:color w:val="000000"/>
                <w:sz w:val="16"/>
                <w:szCs w:val="16"/>
              </w:rPr>
              <w:t xml:space="preserve"> </w:t>
            </w:r>
            <w:r w:rsidRPr="00DF7ED9">
              <w:rPr>
                <w:rFonts w:ascii="Arial" w:eastAsia="Arial" w:hAnsi="Arial" w:cs="Arial"/>
                <w:color w:val="000000"/>
                <w:sz w:val="16"/>
                <w:szCs w:val="16"/>
              </w:rPr>
              <w:t>above and “Supplemental Use of Proceeds” on page PS-</w:t>
            </w:r>
            <w:r w:rsidR="00945051">
              <w:rPr>
                <w:rFonts w:ascii="Arial" w:eastAsia="Arial" w:hAnsi="Arial" w:cs="Arial"/>
                <w:color w:val="000000"/>
                <w:sz w:val="16"/>
                <w:szCs w:val="16"/>
              </w:rPr>
              <w:t>15</w:t>
            </w:r>
            <w:r w:rsidRPr="00DF7ED9">
              <w:rPr>
                <w:rFonts w:ascii="Arial" w:eastAsia="Arial" w:hAnsi="Arial" w:cs="Arial"/>
                <w:color w:val="000000"/>
                <w:sz w:val="16"/>
                <w:szCs w:val="16"/>
              </w:rPr>
              <w:t xml:space="preserve"> of the accompanying product supplement.</w:t>
            </w:r>
          </w:p>
        </w:tc>
      </w:tr>
      <w:tr w:rsidR="00BD53EC" w:rsidRPr="00DF7ED9" w14:paraId="32B849FE" w14:textId="77777777" w:rsidTr="00B93F9A">
        <w:trPr>
          <w:cantSplit/>
          <w:tblCellSpacing w:w="0" w:type="dxa"/>
        </w:trPr>
        <w:tc>
          <w:tcPr>
            <w:tcW w:w="1262" w:type="pct"/>
            <w:shd w:val="clear" w:color="auto" w:fill="DCEBF4"/>
            <w:tcMar>
              <w:top w:w="0" w:type="dxa"/>
              <w:left w:w="64" w:type="dxa"/>
              <w:bottom w:w="0" w:type="dxa"/>
              <w:right w:w="64" w:type="dxa"/>
            </w:tcMar>
            <w:hideMark/>
          </w:tcPr>
          <w:p w14:paraId="26C30F72" w14:textId="77777777" w:rsidR="002C6D14" w:rsidRPr="00DF7ED9" w:rsidRDefault="00C24AAF" w:rsidP="00CD1E9C">
            <w:pPr>
              <w:spacing w:after="66" w:line="200" w:lineRule="atLeast"/>
              <w:rPr>
                <w:color w:val="000000"/>
              </w:rPr>
            </w:pPr>
            <w:r w:rsidRPr="00DF7ED9">
              <w:rPr>
                <w:rFonts w:ascii="Arial" w:eastAsia="Arial" w:hAnsi="Arial" w:cs="Arial"/>
                <w:b/>
                <w:bCs/>
                <w:color w:val="296DC1"/>
                <w:sz w:val="16"/>
                <w:szCs w:val="16"/>
              </w:rPr>
              <w:lastRenderedPageBreak/>
              <w:t>Supplement to the plan of distribution; role of BofAS and conflicts of interest</w:t>
            </w:r>
            <w:r w:rsidR="003F76B8" w:rsidRPr="00DF7ED9">
              <w:rPr>
                <w:rFonts w:ascii="Arial" w:eastAsia="Arial" w:hAnsi="Arial" w:cs="Arial"/>
                <w:b/>
                <w:bCs/>
                <w:color w:val="296DC1"/>
                <w:sz w:val="16"/>
                <w:szCs w:val="16"/>
              </w:rPr>
              <w:t>:</w:t>
            </w:r>
          </w:p>
        </w:tc>
        <w:tc>
          <w:tcPr>
            <w:tcW w:w="3738" w:type="pct"/>
            <w:shd w:val="clear" w:color="auto" w:fill="DCEBF4"/>
            <w:tcMar>
              <w:top w:w="0" w:type="dxa"/>
              <w:left w:w="64" w:type="dxa"/>
              <w:bottom w:w="0" w:type="dxa"/>
              <w:right w:w="64" w:type="dxa"/>
            </w:tcMar>
            <w:hideMark/>
          </w:tcPr>
          <w:p w14:paraId="243459F0" w14:textId="77777777" w:rsidR="001541BF" w:rsidRPr="00DF7ED9" w:rsidRDefault="00C24AAF" w:rsidP="00261F14">
            <w:pPr>
              <w:spacing w:before="66" w:after="66" w:line="200" w:lineRule="atLeast"/>
              <w:rPr>
                <w:rFonts w:ascii="Arial" w:eastAsia="Arial" w:hAnsi="Arial" w:cs="Arial"/>
                <w:color w:val="000000"/>
                <w:sz w:val="16"/>
                <w:szCs w:val="16"/>
              </w:rPr>
            </w:pPr>
            <w:r w:rsidRPr="00DF7ED9">
              <w:rPr>
                <w:rFonts w:ascii="Arial" w:eastAsia="Arial" w:hAnsi="Arial" w:cs="Arial"/>
                <w:color w:val="000000"/>
                <w:sz w:val="16"/>
                <w:szCs w:val="16"/>
              </w:rPr>
              <w:t>BofAS, a broker-dealer affiliate of ours, is a member of the Financial Industry Regulatory Authority, Inc. (“FINRA”) and will participate as agent in the distribution of the securities. Accordingly, the offering of the securities will conform to the requirements of FINRA Rule 5121. BofAS may not make sales in this offering to any of its discretionary accounts without the prior written approval of the account holder.</w:t>
            </w:r>
          </w:p>
          <w:p w14:paraId="076B17A5" w14:textId="72F50669" w:rsidR="001541BF" w:rsidRPr="00DF7ED9" w:rsidRDefault="00C24AAF" w:rsidP="00261F14">
            <w:pPr>
              <w:spacing w:before="66" w:after="66" w:line="200" w:lineRule="atLeast"/>
              <w:rPr>
                <w:rFonts w:ascii="Arial" w:eastAsia="Arial" w:hAnsi="Arial" w:cs="Arial"/>
                <w:color w:val="000000"/>
                <w:sz w:val="16"/>
                <w:szCs w:val="16"/>
              </w:rPr>
            </w:pPr>
            <w:r w:rsidRPr="00DF7ED9">
              <w:rPr>
                <w:rFonts w:ascii="Arial" w:eastAsia="Arial" w:hAnsi="Arial" w:cs="Arial"/>
                <w:color w:val="000000"/>
                <w:sz w:val="16"/>
                <w:szCs w:val="16"/>
              </w:rPr>
              <w:t xml:space="preserve">We </w:t>
            </w:r>
            <w:r w:rsidR="00155852">
              <w:rPr>
                <w:rFonts w:ascii="Arial" w:eastAsia="Arial" w:hAnsi="Arial" w:cs="Arial"/>
                <w:color w:val="000000"/>
                <w:sz w:val="16"/>
                <w:szCs w:val="16"/>
              </w:rPr>
              <w:t>will</w:t>
            </w:r>
            <w:r w:rsidRPr="00DF7ED9">
              <w:rPr>
                <w:rFonts w:ascii="Arial" w:eastAsia="Arial" w:hAnsi="Arial" w:cs="Arial"/>
                <w:color w:val="000000"/>
                <w:sz w:val="16"/>
                <w:szCs w:val="16"/>
              </w:rPr>
              <w:t xml:space="preserve"> deliver the securities against payment therefor in New York, New York on a date that is greater than </w:t>
            </w:r>
            <w:r w:rsidR="003434B5">
              <w:rPr>
                <w:rFonts w:ascii="Arial" w:eastAsia="Arial" w:hAnsi="Arial" w:cs="Arial"/>
                <w:color w:val="000000"/>
                <w:sz w:val="16"/>
                <w:szCs w:val="16"/>
              </w:rPr>
              <w:t>one business day</w:t>
            </w:r>
            <w:r w:rsidRPr="00DF7ED9">
              <w:rPr>
                <w:rFonts w:ascii="Arial" w:eastAsia="Arial" w:hAnsi="Arial" w:cs="Arial"/>
                <w:color w:val="000000"/>
                <w:sz w:val="16"/>
                <w:szCs w:val="16"/>
              </w:rPr>
              <w:t xml:space="preserve"> following the pricing date. Under Rule 15c6-1 of the Securities Exchange Act of 1934, trades in the secondary market generally are required to settle in </w:t>
            </w:r>
            <w:r w:rsidR="003434B5">
              <w:rPr>
                <w:rFonts w:ascii="Arial" w:eastAsia="Arial" w:hAnsi="Arial" w:cs="Arial"/>
                <w:color w:val="000000"/>
                <w:sz w:val="16"/>
                <w:szCs w:val="16"/>
              </w:rPr>
              <w:t>one business day</w:t>
            </w:r>
            <w:r w:rsidRPr="00DF7ED9">
              <w:rPr>
                <w:rFonts w:ascii="Arial" w:eastAsia="Arial" w:hAnsi="Arial" w:cs="Arial"/>
                <w:color w:val="000000"/>
                <w:sz w:val="16"/>
                <w:szCs w:val="16"/>
              </w:rPr>
              <w:t xml:space="preserve">, unless the parties to any such trade expressly agree otherwise. Accordingly, purchasers who wish to trade the securities more than </w:t>
            </w:r>
            <w:r w:rsidR="003434B5">
              <w:rPr>
                <w:rFonts w:ascii="Arial" w:eastAsia="Arial" w:hAnsi="Arial" w:cs="Arial"/>
                <w:color w:val="000000"/>
                <w:sz w:val="16"/>
                <w:szCs w:val="16"/>
              </w:rPr>
              <w:t>one business day</w:t>
            </w:r>
            <w:r w:rsidRPr="00DF7ED9">
              <w:rPr>
                <w:rFonts w:ascii="Arial" w:eastAsia="Arial" w:hAnsi="Arial" w:cs="Arial"/>
                <w:color w:val="000000"/>
                <w:sz w:val="16"/>
                <w:szCs w:val="16"/>
              </w:rPr>
              <w:t xml:space="preserve"> prior to the original issue date will be required to specify alternative settlement arrangements to prevent a failed settlement.</w:t>
            </w:r>
          </w:p>
          <w:p w14:paraId="3276C50C" w14:textId="3D03E63A" w:rsidR="001541BF" w:rsidRPr="00DF7ED9" w:rsidRDefault="00C24AAF" w:rsidP="00B07BDF">
            <w:pPr>
              <w:spacing w:before="66" w:after="66" w:line="200" w:lineRule="atLeast"/>
              <w:rPr>
                <w:rFonts w:ascii="Arial" w:eastAsia="Arial" w:hAnsi="Arial" w:cs="Arial"/>
                <w:color w:val="000000"/>
                <w:sz w:val="16"/>
                <w:szCs w:val="16"/>
              </w:rPr>
            </w:pPr>
            <w:r w:rsidRPr="00DF7ED9">
              <w:rPr>
                <w:rFonts w:ascii="Arial" w:eastAsia="Arial" w:hAnsi="Arial" w:cs="Arial"/>
                <w:color w:val="000000"/>
                <w:sz w:val="16"/>
                <w:szCs w:val="16"/>
              </w:rPr>
              <w:t xml:space="preserve">Under our distribution agreement with BofAS, BofAS will purchase the securities from us as principal at the public offering price indicated on the cover of this pricing supplement, less the indicated </w:t>
            </w:r>
            <w:r w:rsidR="008D6BA0" w:rsidRPr="00DF7ED9">
              <w:rPr>
                <w:rFonts w:ascii="Arial" w:eastAsia="Arial" w:hAnsi="Arial" w:cs="Arial"/>
                <w:color w:val="000000"/>
                <w:sz w:val="16"/>
                <w:szCs w:val="16"/>
              </w:rPr>
              <w:t>agent’s commissions and fees</w:t>
            </w:r>
            <w:r w:rsidRPr="00DF7ED9">
              <w:rPr>
                <w:rFonts w:ascii="Arial" w:eastAsia="Arial" w:hAnsi="Arial" w:cs="Arial"/>
                <w:color w:val="000000"/>
                <w:sz w:val="16"/>
                <w:szCs w:val="16"/>
              </w:rPr>
              <w:t xml:space="preserve">, if any. BofAS will sell the securities to other broker-dealers that will participate in the offering and that are not affiliated with us, at an agreed discount to the principal amount. Each of those broker-dealers may sell the securities to one or more additional broker-dealers. BofAS has informed us that these discounts may vary from dealer to dealer and that not all dealers will purchase or repurchase the securities at the same discount. </w:t>
            </w:r>
            <w:r w:rsidR="000D73B6" w:rsidRPr="00DF7ED9">
              <w:rPr>
                <w:rFonts w:ascii="Arial" w:eastAsia="Arial" w:hAnsi="Arial" w:cs="Arial"/>
                <w:color w:val="000000"/>
                <w:sz w:val="16"/>
                <w:szCs w:val="16"/>
              </w:rPr>
              <w:t>Morgan Stanley Smith Barney LLC (“Morgan Stanley Wealth Management”) and its financial advisors will collectively receive from the agent, BofAS, a fixed sales commission for each security they sell, and Morgan Stanley Wealth Management will receive a structuring fee for each security, in each case as specified on the cover page of this document.</w:t>
            </w:r>
            <w:r w:rsidR="00B07BDF" w:rsidRPr="00DF7ED9">
              <w:rPr>
                <w:rFonts w:ascii="Arial" w:eastAsia="Arial" w:hAnsi="Arial" w:cs="Arial"/>
                <w:color w:val="000000"/>
                <w:sz w:val="16"/>
                <w:szCs w:val="16"/>
              </w:rPr>
              <w:t xml:space="preserve"> The costs included in the original issue price of the securities include a fee paid by </w:t>
            </w:r>
            <w:r w:rsidR="00AD02D4" w:rsidRPr="00DF7ED9">
              <w:rPr>
                <w:rFonts w:ascii="Arial" w:eastAsia="Arial" w:hAnsi="Arial" w:cs="Arial"/>
                <w:color w:val="000000"/>
                <w:sz w:val="16"/>
                <w:szCs w:val="16"/>
              </w:rPr>
              <w:t>BofAS</w:t>
            </w:r>
            <w:r w:rsidR="00B07BDF" w:rsidRPr="00DF7ED9">
              <w:rPr>
                <w:rFonts w:ascii="Arial" w:eastAsia="Arial" w:hAnsi="Arial" w:cs="Arial"/>
                <w:color w:val="000000"/>
                <w:sz w:val="16"/>
                <w:szCs w:val="16"/>
              </w:rPr>
              <w:t xml:space="preserve"> to LFT Securities, LLC,</w:t>
            </w:r>
            <w:r w:rsidR="00015BB2" w:rsidRPr="00FD7F61">
              <w:rPr>
                <w:rFonts w:ascii="Arial" w:eastAsia="Arial" w:hAnsi="Arial" w:cs="Arial"/>
                <w:color w:val="000000"/>
                <w:sz w:val="16"/>
                <w:szCs w:val="16"/>
              </w:rPr>
              <w:t xml:space="preserve"> an entity in which an affiliate of BofAS and an affiliate </w:t>
            </w:r>
            <w:r w:rsidR="00015BB2">
              <w:rPr>
                <w:rFonts w:ascii="Arial" w:eastAsia="Arial" w:hAnsi="Arial" w:cs="Arial"/>
                <w:color w:val="000000"/>
                <w:sz w:val="16"/>
                <w:szCs w:val="16"/>
              </w:rPr>
              <w:t xml:space="preserve">of </w:t>
            </w:r>
            <w:r w:rsidR="00015BB2" w:rsidRPr="00FD7F61">
              <w:rPr>
                <w:rFonts w:ascii="Arial" w:eastAsia="Arial" w:hAnsi="Arial" w:cs="Arial"/>
                <w:color w:val="000000"/>
                <w:sz w:val="16"/>
                <w:szCs w:val="16"/>
              </w:rPr>
              <w:t>Morgan Stanley Wealth Management have ownership interests</w:t>
            </w:r>
            <w:r w:rsidR="00B07BDF" w:rsidRPr="00DF7ED9">
              <w:rPr>
                <w:rFonts w:ascii="Arial" w:eastAsia="Arial" w:hAnsi="Arial" w:cs="Arial"/>
                <w:color w:val="000000"/>
                <w:sz w:val="16"/>
                <w:szCs w:val="16"/>
              </w:rPr>
              <w:t>, for providing certain electronic platform services with respect to this offering.</w:t>
            </w:r>
          </w:p>
          <w:p w14:paraId="1172285E" w14:textId="77777777" w:rsidR="001541BF" w:rsidRPr="00DF7ED9" w:rsidRDefault="00C24AAF" w:rsidP="00261F14">
            <w:pPr>
              <w:spacing w:before="66" w:after="66" w:line="200" w:lineRule="atLeast"/>
              <w:rPr>
                <w:rFonts w:ascii="Arial" w:eastAsia="Arial" w:hAnsi="Arial" w:cs="Arial"/>
                <w:color w:val="000000"/>
                <w:sz w:val="16"/>
                <w:szCs w:val="16"/>
              </w:rPr>
            </w:pPr>
            <w:r w:rsidRPr="00DF7ED9">
              <w:rPr>
                <w:rFonts w:ascii="Arial" w:eastAsia="Arial" w:hAnsi="Arial" w:cs="Arial"/>
                <w:color w:val="000000"/>
                <w:sz w:val="16"/>
                <w:szCs w:val="16"/>
              </w:rPr>
              <w:t>BofAS and any of our other broker-dealer affiliates may use this pricing supplement and the accompanying product supplement, prospectus supplement and prospectus for offers and sales in secondary market transactions and market-making transactions in the securities. However, they are not obligated to engage in such secondary market transactions and/or market-making transactions. These broker-dealer affiliates may act as principal or agent in these transactions, and any such sales will be made at prices related to prevailing market conditions at the time of the sale.</w:t>
            </w:r>
          </w:p>
          <w:p w14:paraId="63834ACE" w14:textId="77777777" w:rsidR="001541BF" w:rsidRPr="00DF7ED9" w:rsidRDefault="00C24AAF" w:rsidP="00261F14">
            <w:pPr>
              <w:spacing w:before="66" w:after="66" w:line="200" w:lineRule="atLeast"/>
              <w:rPr>
                <w:rFonts w:ascii="Arial" w:eastAsia="Arial" w:hAnsi="Arial" w:cs="Arial"/>
                <w:color w:val="000000"/>
                <w:sz w:val="16"/>
                <w:szCs w:val="16"/>
              </w:rPr>
            </w:pPr>
            <w:r w:rsidRPr="00DF7ED9">
              <w:rPr>
                <w:rFonts w:ascii="Arial" w:eastAsia="Arial" w:hAnsi="Arial" w:cs="Arial"/>
                <w:color w:val="000000"/>
                <w:sz w:val="16"/>
                <w:szCs w:val="16"/>
              </w:rPr>
              <w:t xml:space="preserve">At BofAS’s discretion, for a short, undetermined initial period after the issuance of the securities, BofAS may offer to buy the securities in the secondary market at a price that may exceed the initial estimated value of the securities. Any price offered by BofAS for the securities will be based on then-prevailing market conditions and other considerations, including the performance of the </w:t>
            </w:r>
            <w:r w:rsidR="004B51F0" w:rsidRPr="00DF7ED9">
              <w:rPr>
                <w:rFonts w:ascii="Arial" w:eastAsia="Arial" w:hAnsi="Arial" w:cs="Arial"/>
                <w:color w:val="000000"/>
                <w:sz w:val="16"/>
                <w:szCs w:val="16"/>
              </w:rPr>
              <w:t>underlying index</w:t>
            </w:r>
            <w:r w:rsidRPr="00DF7ED9">
              <w:rPr>
                <w:rFonts w:ascii="Arial" w:eastAsia="Arial" w:hAnsi="Arial" w:cs="Arial"/>
                <w:color w:val="000000"/>
                <w:sz w:val="16"/>
                <w:szCs w:val="16"/>
              </w:rPr>
              <w:t xml:space="preserve"> and the remaining term of the securities. However, none of us, the guarantor, BofAS or any of our other affiliates is obligated to purchase your securities at any price or at any time, and we cannot assure you that any party will purchase your securities at a price that equals or exceeds the initial estimated value of the securities.</w:t>
            </w:r>
          </w:p>
          <w:p w14:paraId="3ED9A491" w14:textId="77777777" w:rsidR="001541BF" w:rsidRPr="00DF7ED9" w:rsidRDefault="00C24AAF" w:rsidP="00261F14">
            <w:pPr>
              <w:spacing w:before="66" w:after="66" w:line="200" w:lineRule="atLeast"/>
              <w:rPr>
                <w:rFonts w:ascii="Arial" w:eastAsia="Arial" w:hAnsi="Arial" w:cs="Arial"/>
                <w:color w:val="000000"/>
                <w:sz w:val="16"/>
                <w:szCs w:val="16"/>
              </w:rPr>
            </w:pPr>
            <w:r w:rsidRPr="00DF7ED9">
              <w:rPr>
                <w:rFonts w:ascii="Arial" w:eastAsia="Arial" w:hAnsi="Arial" w:cs="Arial"/>
                <w:color w:val="000000"/>
                <w:sz w:val="16"/>
                <w:szCs w:val="16"/>
              </w:rPr>
              <w:t>Any price that BofAS may pay to repurchase the securities will depend upon then prevailing market conditions, the creditworthiness of us and the guarantor, and transaction costs. At certain times, this price may be higher than or lower than the initial estimated value of the securities.</w:t>
            </w:r>
          </w:p>
          <w:p w14:paraId="3E8B1F73" w14:textId="77777777" w:rsidR="001541BF" w:rsidRPr="00DF7ED9" w:rsidRDefault="00C24AAF" w:rsidP="00261F14">
            <w:pPr>
              <w:spacing w:before="66" w:after="66" w:line="200" w:lineRule="atLeast"/>
              <w:rPr>
                <w:rFonts w:ascii="Arial" w:eastAsia="Arial" w:hAnsi="Arial" w:cs="Arial"/>
                <w:color w:val="000000"/>
                <w:sz w:val="16"/>
                <w:szCs w:val="16"/>
              </w:rPr>
            </w:pPr>
            <w:r w:rsidRPr="00DF7ED9">
              <w:rPr>
                <w:rFonts w:ascii="Arial" w:eastAsia="Arial" w:hAnsi="Arial" w:cs="Arial"/>
                <w:b/>
                <w:bCs/>
                <w:color w:val="000000"/>
                <w:sz w:val="16"/>
                <w:szCs w:val="16"/>
              </w:rPr>
              <w:t>Sales Outside of the United States</w:t>
            </w:r>
          </w:p>
          <w:p w14:paraId="7A425145" w14:textId="77777777" w:rsidR="001541BF" w:rsidRPr="00DF7ED9" w:rsidRDefault="00C24AAF" w:rsidP="00261F14">
            <w:pPr>
              <w:spacing w:before="66" w:after="66" w:line="200" w:lineRule="atLeast"/>
              <w:rPr>
                <w:rFonts w:ascii="Arial" w:eastAsia="Arial" w:hAnsi="Arial" w:cs="Arial"/>
                <w:color w:val="000000"/>
                <w:sz w:val="16"/>
                <w:szCs w:val="16"/>
              </w:rPr>
            </w:pPr>
            <w:r w:rsidRPr="00DF7ED9">
              <w:rPr>
                <w:rFonts w:ascii="Arial" w:eastAsia="Arial" w:hAnsi="Arial" w:cs="Arial"/>
                <w:color w:val="000000"/>
                <w:sz w:val="16"/>
                <w:szCs w:val="16"/>
              </w:rPr>
              <w:t>The securities have not been approved for public sale in any jurisdiction outside of the United States.  There has been no registration or filing as to the securities with any regulatory, securities, banking, or local authority outside of the United States and no action has been taken by BofA Finance, BAC, BofAS or any other affiliate of BAC, to offer the securities in any jurisdiction other than the United States. As such, these securities are made available to investors outside of the United States only in jurisdictions where it is lawful to make such offer or sale and only under circumstances that will result in compliance with applicable laws and regulations, including private placement requirements.</w:t>
            </w:r>
          </w:p>
          <w:p w14:paraId="5D34C3BE" w14:textId="06A32221" w:rsidR="001541BF" w:rsidRPr="00DF7ED9" w:rsidRDefault="00FC4819" w:rsidP="00261F14">
            <w:pPr>
              <w:spacing w:before="66" w:after="66" w:line="200" w:lineRule="atLeast"/>
              <w:rPr>
                <w:rFonts w:ascii="Arial" w:eastAsia="Arial" w:hAnsi="Arial" w:cs="Arial"/>
                <w:color w:val="000000"/>
                <w:sz w:val="16"/>
                <w:szCs w:val="16"/>
              </w:rPr>
            </w:pPr>
            <w:r w:rsidRPr="00DF7ED9">
              <w:rPr>
                <w:rFonts w:ascii="Arial" w:eastAsia="Arial" w:hAnsi="Arial" w:cs="Arial"/>
                <w:color w:val="000000"/>
                <w:sz w:val="16"/>
                <w:szCs w:val="16"/>
              </w:rPr>
              <w:t>Further, no offer or sale of the securities is permitted with regards to the following jurisdictions:</w:t>
            </w:r>
          </w:p>
          <w:p w14:paraId="4C463DA5" w14:textId="77777777" w:rsidR="001541BF" w:rsidRPr="00DF7ED9" w:rsidRDefault="00C24AAF" w:rsidP="00261F14">
            <w:pPr>
              <w:numPr>
                <w:ilvl w:val="0"/>
                <w:numId w:val="16"/>
              </w:numPr>
              <w:spacing w:before="66" w:after="66" w:line="200" w:lineRule="atLeast"/>
              <w:rPr>
                <w:rFonts w:ascii="Arial" w:eastAsia="Arial" w:hAnsi="Arial" w:cs="Arial"/>
                <w:color w:val="000000"/>
                <w:sz w:val="16"/>
                <w:szCs w:val="16"/>
              </w:rPr>
            </w:pPr>
            <w:r w:rsidRPr="00DF7ED9">
              <w:rPr>
                <w:rFonts w:ascii="Arial" w:eastAsia="Arial" w:hAnsi="Arial" w:cs="Arial"/>
                <w:color w:val="000000"/>
                <w:sz w:val="16"/>
                <w:szCs w:val="16"/>
              </w:rPr>
              <w:t>Australia</w:t>
            </w:r>
          </w:p>
          <w:p w14:paraId="3DB7B2D1" w14:textId="77777777" w:rsidR="001541BF" w:rsidRPr="00DF7ED9" w:rsidRDefault="00C24AAF" w:rsidP="00261F14">
            <w:pPr>
              <w:numPr>
                <w:ilvl w:val="0"/>
                <w:numId w:val="16"/>
              </w:numPr>
              <w:spacing w:before="66" w:after="66" w:line="200" w:lineRule="atLeast"/>
              <w:rPr>
                <w:rFonts w:ascii="Arial" w:eastAsia="Arial" w:hAnsi="Arial" w:cs="Arial"/>
                <w:color w:val="000000"/>
                <w:sz w:val="16"/>
                <w:szCs w:val="16"/>
              </w:rPr>
            </w:pPr>
            <w:r w:rsidRPr="00DF7ED9">
              <w:rPr>
                <w:rFonts w:ascii="Arial" w:eastAsia="Arial" w:hAnsi="Arial" w:cs="Arial"/>
                <w:color w:val="000000"/>
                <w:sz w:val="16"/>
                <w:szCs w:val="16"/>
              </w:rPr>
              <w:t>Barbados</w:t>
            </w:r>
          </w:p>
          <w:p w14:paraId="4B53C787" w14:textId="77777777" w:rsidR="001541BF" w:rsidRPr="00DF7ED9" w:rsidRDefault="00C24AAF" w:rsidP="00261F14">
            <w:pPr>
              <w:numPr>
                <w:ilvl w:val="0"/>
                <w:numId w:val="16"/>
              </w:numPr>
              <w:spacing w:before="66" w:after="66" w:line="200" w:lineRule="atLeast"/>
              <w:rPr>
                <w:rFonts w:ascii="Arial" w:eastAsia="Arial" w:hAnsi="Arial" w:cs="Arial"/>
                <w:color w:val="000000"/>
                <w:sz w:val="16"/>
                <w:szCs w:val="16"/>
              </w:rPr>
            </w:pPr>
            <w:r w:rsidRPr="00DF7ED9">
              <w:rPr>
                <w:rFonts w:ascii="Arial" w:eastAsia="Arial" w:hAnsi="Arial" w:cs="Arial"/>
                <w:color w:val="000000"/>
                <w:sz w:val="16"/>
                <w:szCs w:val="16"/>
              </w:rPr>
              <w:t xml:space="preserve">Belgium </w:t>
            </w:r>
          </w:p>
          <w:p w14:paraId="681A6A72" w14:textId="77777777" w:rsidR="001541BF" w:rsidRPr="00DF7ED9" w:rsidRDefault="00C24AAF" w:rsidP="00261F14">
            <w:pPr>
              <w:numPr>
                <w:ilvl w:val="0"/>
                <w:numId w:val="16"/>
              </w:numPr>
              <w:spacing w:before="66" w:after="66" w:line="200" w:lineRule="atLeast"/>
              <w:rPr>
                <w:rFonts w:ascii="Arial" w:eastAsia="Arial" w:hAnsi="Arial" w:cs="Arial"/>
                <w:color w:val="000000"/>
                <w:sz w:val="16"/>
                <w:szCs w:val="16"/>
              </w:rPr>
            </w:pPr>
            <w:r w:rsidRPr="00DF7ED9">
              <w:rPr>
                <w:rFonts w:ascii="Arial" w:eastAsia="Arial" w:hAnsi="Arial" w:cs="Arial"/>
                <w:color w:val="000000"/>
                <w:sz w:val="16"/>
                <w:szCs w:val="16"/>
              </w:rPr>
              <w:t>Crimea</w:t>
            </w:r>
          </w:p>
          <w:p w14:paraId="5872808A" w14:textId="77777777" w:rsidR="001541BF" w:rsidRPr="00DF7ED9" w:rsidRDefault="00C24AAF" w:rsidP="00261F14">
            <w:pPr>
              <w:numPr>
                <w:ilvl w:val="0"/>
                <w:numId w:val="16"/>
              </w:numPr>
              <w:spacing w:before="66" w:after="66" w:line="200" w:lineRule="atLeast"/>
              <w:rPr>
                <w:rFonts w:ascii="Arial" w:eastAsia="Arial" w:hAnsi="Arial" w:cs="Arial"/>
                <w:color w:val="000000"/>
                <w:sz w:val="16"/>
                <w:szCs w:val="16"/>
              </w:rPr>
            </w:pPr>
            <w:r w:rsidRPr="00DF7ED9">
              <w:rPr>
                <w:rFonts w:ascii="Arial" w:eastAsia="Arial" w:hAnsi="Arial" w:cs="Arial"/>
                <w:color w:val="000000"/>
                <w:sz w:val="16"/>
                <w:szCs w:val="16"/>
              </w:rPr>
              <w:t>Cuba</w:t>
            </w:r>
          </w:p>
          <w:p w14:paraId="3BBA01E7" w14:textId="7EE6DB25" w:rsidR="001541BF" w:rsidRPr="00DF7ED9" w:rsidRDefault="00C24AAF" w:rsidP="00261F14">
            <w:pPr>
              <w:numPr>
                <w:ilvl w:val="0"/>
                <w:numId w:val="16"/>
              </w:numPr>
              <w:spacing w:before="66" w:after="66" w:line="200" w:lineRule="atLeast"/>
              <w:rPr>
                <w:rFonts w:ascii="Arial" w:eastAsia="Arial" w:hAnsi="Arial" w:cs="Arial"/>
                <w:color w:val="000000"/>
                <w:sz w:val="16"/>
                <w:szCs w:val="16"/>
              </w:rPr>
            </w:pPr>
            <w:r w:rsidRPr="00DF7ED9">
              <w:rPr>
                <w:rFonts w:ascii="Arial" w:eastAsia="Arial" w:hAnsi="Arial" w:cs="Arial"/>
                <w:color w:val="000000"/>
                <w:sz w:val="16"/>
                <w:szCs w:val="16"/>
              </w:rPr>
              <w:t>Curacao</w:t>
            </w:r>
            <w:r w:rsidR="00FC4819" w:rsidRPr="00DF7ED9">
              <w:rPr>
                <w:rFonts w:ascii="Arial" w:eastAsia="Arial" w:hAnsi="Arial" w:cs="Arial"/>
                <w:color w:val="000000"/>
                <w:sz w:val="16"/>
                <w:szCs w:val="16"/>
              </w:rPr>
              <w:t xml:space="preserve"> Sint Maarten</w:t>
            </w:r>
          </w:p>
          <w:p w14:paraId="69E7D79A" w14:textId="77777777" w:rsidR="001541BF" w:rsidRPr="00DF7ED9" w:rsidRDefault="00C24AAF" w:rsidP="00261F14">
            <w:pPr>
              <w:numPr>
                <w:ilvl w:val="0"/>
                <w:numId w:val="16"/>
              </w:numPr>
              <w:spacing w:before="66" w:after="66" w:line="200" w:lineRule="atLeast"/>
              <w:rPr>
                <w:rFonts w:ascii="Arial" w:eastAsia="Arial" w:hAnsi="Arial" w:cs="Arial"/>
                <w:color w:val="000000"/>
                <w:sz w:val="16"/>
                <w:szCs w:val="16"/>
              </w:rPr>
            </w:pPr>
            <w:r w:rsidRPr="00DF7ED9">
              <w:rPr>
                <w:rFonts w:ascii="Arial" w:eastAsia="Arial" w:hAnsi="Arial" w:cs="Arial"/>
                <w:color w:val="000000"/>
                <w:sz w:val="16"/>
                <w:szCs w:val="16"/>
              </w:rPr>
              <w:t>Gibraltar</w:t>
            </w:r>
          </w:p>
          <w:p w14:paraId="7E47233B" w14:textId="77777777" w:rsidR="001541BF" w:rsidRPr="00DF7ED9" w:rsidRDefault="00C24AAF" w:rsidP="00261F14">
            <w:pPr>
              <w:numPr>
                <w:ilvl w:val="0"/>
                <w:numId w:val="16"/>
              </w:numPr>
              <w:spacing w:before="66" w:after="66" w:line="200" w:lineRule="atLeast"/>
              <w:rPr>
                <w:rFonts w:ascii="Arial" w:eastAsia="Arial" w:hAnsi="Arial" w:cs="Arial"/>
                <w:color w:val="000000"/>
                <w:sz w:val="16"/>
                <w:szCs w:val="16"/>
              </w:rPr>
            </w:pPr>
            <w:r w:rsidRPr="00DF7ED9">
              <w:rPr>
                <w:rFonts w:ascii="Arial" w:eastAsia="Arial" w:hAnsi="Arial" w:cs="Arial"/>
                <w:color w:val="000000"/>
                <w:sz w:val="16"/>
                <w:szCs w:val="16"/>
              </w:rPr>
              <w:t>Indonesia</w:t>
            </w:r>
          </w:p>
          <w:p w14:paraId="7725DB2B" w14:textId="29F37800" w:rsidR="001541BF" w:rsidRPr="00DF7ED9" w:rsidRDefault="00C24AAF" w:rsidP="00261F14">
            <w:pPr>
              <w:numPr>
                <w:ilvl w:val="0"/>
                <w:numId w:val="16"/>
              </w:numPr>
              <w:spacing w:before="66" w:after="66" w:line="200" w:lineRule="atLeast"/>
              <w:rPr>
                <w:rFonts w:ascii="Arial" w:eastAsia="Arial" w:hAnsi="Arial" w:cs="Arial"/>
                <w:color w:val="000000"/>
                <w:sz w:val="16"/>
                <w:szCs w:val="16"/>
              </w:rPr>
            </w:pPr>
            <w:r w:rsidRPr="00DF7ED9">
              <w:rPr>
                <w:rFonts w:ascii="Arial" w:eastAsia="Arial" w:hAnsi="Arial" w:cs="Arial"/>
                <w:color w:val="000000"/>
                <w:sz w:val="16"/>
                <w:szCs w:val="16"/>
              </w:rPr>
              <w:t>Iran</w:t>
            </w:r>
          </w:p>
          <w:p w14:paraId="0B9EBB82" w14:textId="77777777" w:rsidR="00FC4819" w:rsidRPr="00DF7ED9" w:rsidRDefault="00FC4819" w:rsidP="00FC4819">
            <w:pPr>
              <w:numPr>
                <w:ilvl w:val="0"/>
                <w:numId w:val="16"/>
              </w:numPr>
              <w:spacing w:before="66" w:after="66" w:line="200" w:lineRule="atLeast"/>
              <w:rPr>
                <w:rFonts w:ascii="Arial" w:eastAsia="Arial" w:hAnsi="Arial" w:cs="Arial"/>
                <w:color w:val="000000"/>
                <w:sz w:val="16"/>
                <w:szCs w:val="16"/>
              </w:rPr>
            </w:pPr>
            <w:r w:rsidRPr="00DF7ED9">
              <w:rPr>
                <w:rFonts w:ascii="Arial" w:eastAsia="Arial" w:hAnsi="Arial" w:cs="Arial"/>
                <w:color w:val="000000"/>
                <w:sz w:val="16"/>
                <w:szCs w:val="16"/>
              </w:rPr>
              <w:t>Italy</w:t>
            </w:r>
          </w:p>
          <w:p w14:paraId="0255E6FA" w14:textId="77777777" w:rsidR="001541BF" w:rsidRPr="00DF7ED9" w:rsidRDefault="00C24AAF" w:rsidP="00261F14">
            <w:pPr>
              <w:numPr>
                <w:ilvl w:val="0"/>
                <w:numId w:val="16"/>
              </w:numPr>
              <w:spacing w:before="66" w:after="66" w:line="200" w:lineRule="atLeast"/>
              <w:rPr>
                <w:rFonts w:ascii="Arial" w:eastAsia="Arial" w:hAnsi="Arial" w:cs="Arial"/>
                <w:color w:val="000000"/>
                <w:sz w:val="16"/>
                <w:szCs w:val="16"/>
              </w:rPr>
            </w:pPr>
            <w:r w:rsidRPr="00DF7ED9">
              <w:rPr>
                <w:rFonts w:ascii="Arial" w:eastAsia="Arial" w:hAnsi="Arial" w:cs="Arial"/>
                <w:color w:val="000000"/>
                <w:sz w:val="16"/>
                <w:szCs w:val="16"/>
              </w:rPr>
              <w:lastRenderedPageBreak/>
              <w:t>Kazakhstan</w:t>
            </w:r>
          </w:p>
          <w:p w14:paraId="348ABD18" w14:textId="77777777" w:rsidR="001541BF" w:rsidRPr="00DF7ED9" w:rsidRDefault="00C24AAF" w:rsidP="00261F14">
            <w:pPr>
              <w:numPr>
                <w:ilvl w:val="0"/>
                <w:numId w:val="16"/>
              </w:numPr>
              <w:spacing w:before="66" w:after="66" w:line="200" w:lineRule="atLeast"/>
              <w:rPr>
                <w:rFonts w:ascii="Arial" w:eastAsia="Arial" w:hAnsi="Arial" w:cs="Arial"/>
                <w:color w:val="000000"/>
                <w:sz w:val="16"/>
                <w:szCs w:val="16"/>
              </w:rPr>
            </w:pPr>
            <w:r w:rsidRPr="00DF7ED9">
              <w:rPr>
                <w:rFonts w:ascii="Arial" w:eastAsia="Arial" w:hAnsi="Arial" w:cs="Arial"/>
                <w:color w:val="000000"/>
                <w:sz w:val="16"/>
                <w:szCs w:val="16"/>
              </w:rPr>
              <w:t>Malaysia</w:t>
            </w:r>
          </w:p>
          <w:p w14:paraId="49850502" w14:textId="77777777" w:rsidR="001541BF" w:rsidRPr="00DF7ED9" w:rsidRDefault="00C24AAF" w:rsidP="00261F14">
            <w:pPr>
              <w:numPr>
                <w:ilvl w:val="0"/>
                <w:numId w:val="16"/>
              </w:numPr>
              <w:spacing w:before="66" w:after="66" w:line="200" w:lineRule="atLeast"/>
              <w:rPr>
                <w:rFonts w:ascii="Arial" w:eastAsia="Arial" w:hAnsi="Arial" w:cs="Arial"/>
                <w:color w:val="000000"/>
                <w:sz w:val="16"/>
                <w:szCs w:val="16"/>
              </w:rPr>
            </w:pPr>
            <w:r w:rsidRPr="00DF7ED9">
              <w:rPr>
                <w:rFonts w:ascii="Arial" w:eastAsia="Arial" w:hAnsi="Arial" w:cs="Arial"/>
                <w:color w:val="000000"/>
                <w:sz w:val="16"/>
                <w:szCs w:val="16"/>
              </w:rPr>
              <w:t>New Zealand</w:t>
            </w:r>
          </w:p>
          <w:p w14:paraId="0F1DEC8E" w14:textId="77777777" w:rsidR="001541BF" w:rsidRPr="00DF7ED9" w:rsidRDefault="00C24AAF" w:rsidP="00261F14">
            <w:pPr>
              <w:numPr>
                <w:ilvl w:val="0"/>
                <w:numId w:val="16"/>
              </w:numPr>
              <w:spacing w:before="66" w:after="66" w:line="200" w:lineRule="atLeast"/>
              <w:rPr>
                <w:rFonts w:ascii="Arial" w:eastAsia="Arial" w:hAnsi="Arial" w:cs="Arial"/>
                <w:color w:val="000000"/>
                <w:sz w:val="16"/>
                <w:szCs w:val="16"/>
              </w:rPr>
            </w:pPr>
            <w:r w:rsidRPr="00DF7ED9">
              <w:rPr>
                <w:rFonts w:ascii="Arial" w:eastAsia="Arial" w:hAnsi="Arial" w:cs="Arial"/>
                <w:color w:val="000000"/>
                <w:sz w:val="16"/>
                <w:szCs w:val="16"/>
              </w:rPr>
              <w:t>North Korea</w:t>
            </w:r>
          </w:p>
          <w:p w14:paraId="0A08BA5D" w14:textId="77777777" w:rsidR="001541BF" w:rsidRPr="00DF7ED9" w:rsidRDefault="00C24AAF" w:rsidP="00261F14">
            <w:pPr>
              <w:numPr>
                <w:ilvl w:val="0"/>
                <w:numId w:val="16"/>
              </w:numPr>
              <w:spacing w:before="66" w:after="66" w:line="200" w:lineRule="atLeast"/>
              <w:rPr>
                <w:rFonts w:ascii="Arial" w:eastAsia="Arial" w:hAnsi="Arial" w:cs="Arial"/>
                <w:color w:val="000000"/>
                <w:sz w:val="16"/>
                <w:szCs w:val="16"/>
              </w:rPr>
            </w:pPr>
            <w:r w:rsidRPr="00DF7ED9">
              <w:rPr>
                <w:rFonts w:ascii="Arial" w:eastAsia="Arial" w:hAnsi="Arial" w:cs="Arial"/>
                <w:color w:val="000000"/>
                <w:sz w:val="16"/>
                <w:szCs w:val="16"/>
              </w:rPr>
              <w:t>Norway</w:t>
            </w:r>
          </w:p>
          <w:p w14:paraId="0BE22CCC" w14:textId="638C30E2" w:rsidR="001541BF" w:rsidRPr="00DF7ED9" w:rsidRDefault="00C24AAF" w:rsidP="00261F14">
            <w:pPr>
              <w:numPr>
                <w:ilvl w:val="0"/>
                <w:numId w:val="16"/>
              </w:numPr>
              <w:spacing w:before="66" w:after="66" w:line="200" w:lineRule="atLeast"/>
              <w:rPr>
                <w:rFonts w:ascii="Arial" w:eastAsia="Arial" w:hAnsi="Arial" w:cs="Arial"/>
                <w:color w:val="000000"/>
                <w:sz w:val="16"/>
                <w:szCs w:val="16"/>
              </w:rPr>
            </w:pPr>
            <w:r w:rsidRPr="00DF7ED9">
              <w:rPr>
                <w:rFonts w:ascii="Arial" w:eastAsia="Arial" w:hAnsi="Arial" w:cs="Arial"/>
                <w:color w:val="000000"/>
                <w:sz w:val="16"/>
                <w:szCs w:val="16"/>
              </w:rPr>
              <w:t>Russia</w:t>
            </w:r>
          </w:p>
          <w:p w14:paraId="7EDD4B9F" w14:textId="77777777" w:rsidR="001541BF" w:rsidRPr="00DF7ED9" w:rsidRDefault="00C24AAF" w:rsidP="00261F14">
            <w:pPr>
              <w:numPr>
                <w:ilvl w:val="0"/>
                <w:numId w:val="16"/>
              </w:numPr>
              <w:spacing w:before="66" w:after="66" w:line="200" w:lineRule="atLeast"/>
              <w:rPr>
                <w:rFonts w:ascii="Arial" w:eastAsia="Arial" w:hAnsi="Arial" w:cs="Arial"/>
                <w:color w:val="000000"/>
                <w:sz w:val="16"/>
                <w:szCs w:val="16"/>
              </w:rPr>
            </w:pPr>
            <w:r w:rsidRPr="00DF7ED9">
              <w:rPr>
                <w:rFonts w:ascii="Arial" w:eastAsia="Arial" w:hAnsi="Arial" w:cs="Arial"/>
                <w:color w:val="000000"/>
                <w:sz w:val="16"/>
                <w:szCs w:val="16"/>
              </w:rPr>
              <w:t>Syria</w:t>
            </w:r>
          </w:p>
          <w:p w14:paraId="0AAB17D7" w14:textId="08BFDFEB" w:rsidR="001541BF" w:rsidRPr="00DF7ED9" w:rsidRDefault="00C24AAF" w:rsidP="00261F14">
            <w:pPr>
              <w:spacing w:before="66" w:after="66" w:line="200" w:lineRule="atLeast"/>
              <w:rPr>
                <w:rFonts w:ascii="Arial" w:eastAsia="Arial" w:hAnsi="Arial" w:cs="Arial"/>
                <w:color w:val="000000"/>
                <w:sz w:val="16"/>
                <w:szCs w:val="16"/>
              </w:rPr>
            </w:pPr>
            <w:r w:rsidRPr="00DF7ED9">
              <w:rPr>
                <w:rFonts w:ascii="Arial" w:eastAsia="Arial" w:hAnsi="Arial" w:cs="Arial"/>
                <w:color w:val="000000"/>
                <w:sz w:val="16"/>
                <w:szCs w:val="16"/>
              </w:rPr>
              <w:t>You are urged to carefully review the selling restrictions that may be applicable to your jurisdiction beginning on page S-</w:t>
            </w:r>
            <w:r w:rsidR="00945051">
              <w:rPr>
                <w:rFonts w:ascii="Arial" w:eastAsia="Arial" w:hAnsi="Arial" w:cs="Arial"/>
                <w:color w:val="000000"/>
                <w:sz w:val="16"/>
                <w:szCs w:val="16"/>
              </w:rPr>
              <w:t>70</w:t>
            </w:r>
            <w:r w:rsidRPr="00DF7ED9">
              <w:rPr>
                <w:rFonts w:ascii="Arial" w:eastAsia="Arial" w:hAnsi="Arial" w:cs="Arial"/>
                <w:color w:val="000000"/>
                <w:sz w:val="16"/>
                <w:szCs w:val="16"/>
              </w:rPr>
              <w:t xml:space="preserve"> of the accompanying prospectus supplement.</w:t>
            </w:r>
          </w:p>
          <w:p w14:paraId="60BE36FF" w14:textId="77777777" w:rsidR="001541BF" w:rsidRPr="00DF7ED9" w:rsidRDefault="00C24AAF" w:rsidP="00261F14">
            <w:pPr>
              <w:spacing w:before="66" w:after="66" w:line="200" w:lineRule="atLeast"/>
              <w:rPr>
                <w:rFonts w:ascii="Arial" w:eastAsia="Arial" w:hAnsi="Arial" w:cs="Arial"/>
                <w:color w:val="000000"/>
                <w:sz w:val="16"/>
                <w:szCs w:val="16"/>
              </w:rPr>
            </w:pPr>
            <w:r w:rsidRPr="00DF7ED9">
              <w:rPr>
                <w:rFonts w:ascii="Arial" w:eastAsia="Arial" w:hAnsi="Arial" w:cs="Arial"/>
                <w:b/>
                <w:bCs/>
                <w:color w:val="000000"/>
                <w:sz w:val="16"/>
                <w:szCs w:val="16"/>
              </w:rPr>
              <w:t>European Economic Area and United Kingdom</w:t>
            </w:r>
          </w:p>
          <w:p w14:paraId="7C50AEB2" w14:textId="77777777" w:rsidR="001541BF" w:rsidRPr="00DF7ED9" w:rsidRDefault="00C24AAF" w:rsidP="00261F14">
            <w:pPr>
              <w:spacing w:before="66" w:after="66" w:line="200" w:lineRule="atLeast"/>
              <w:rPr>
                <w:rFonts w:ascii="Arial" w:eastAsia="Arial" w:hAnsi="Arial" w:cs="Arial"/>
                <w:color w:val="000000"/>
                <w:sz w:val="16"/>
                <w:szCs w:val="16"/>
              </w:rPr>
            </w:pPr>
            <w:r w:rsidRPr="00DF7ED9">
              <w:rPr>
                <w:rFonts w:ascii="Arial" w:eastAsia="Arial" w:hAnsi="Arial" w:cs="Arial"/>
                <w:color w:val="000000"/>
                <w:sz w:val="16"/>
                <w:szCs w:val="16"/>
              </w:rPr>
              <w:t>None of this pricing supplement, the accompanying product supplement, the accompanying prospectus or the accompanying prospectus supplement is a prospectus for the purposes of the Prospectus Regulation (as defined below). This pricing supplement, the accompanying product supplement, the accompanying prospectus and the accompanying prospectus supplement have been prepared on the basis that any offer of securities in any Member State of the European Economic Area (the “EEA”) or in the United Kingdom (each, a “Relevant State”) will only be made to a legal entity which is a qualified investor under the Prospectus Regulation (“Qualified Investors”). Accordingly any person making or intending to make an offer in that Relevant State of securities which are the subject of the offering contemplated in this pricing supplement, the accompanying product supplement, the accompanying prospectus and the accompanying prospectus supplement may only do so with respect to Qualified Investors. Neither BofA Finance nor BAC has authorized, nor does it authorize, the making of any offer of securities other than to Qualified Investors. The expression “Prospectus Regulation” means Regulation (EU) 2017/1129.</w:t>
            </w:r>
          </w:p>
          <w:p w14:paraId="0A3C6CF7" w14:textId="77777777" w:rsidR="00721C5E" w:rsidRPr="00721C5E" w:rsidRDefault="00721C5E" w:rsidP="00721C5E">
            <w:pPr>
              <w:spacing w:before="66" w:after="66" w:line="200" w:lineRule="atLeast"/>
              <w:rPr>
                <w:rFonts w:ascii="Arial" w:eastAsia="Arial" w:hAnsi="Arial" w:cs="Arial"/>
                <w:color w:val="000000"/>
                <w:sz w:val="16"/>
                <w:szCs w:val="16"/>
              </w:rPr>
            </w:pPr>
            <w:r w:rsidRPr="00721C5E">
              <w:rPr>
                <w:rFonts w:ascii="Arial" w:eastAsia="Arial" w:hAnsi="Arial" w:cs="Arial"/>
                <w:b/>
                <w:bCs/>
                <w:color w:val="000000"/>
                <w:sz w:val="16"/>
                <w:szCs w:val="16"/>
              </w:rPr>
              <w:t xml:space="preserve">PROHIBITION OF SALES TO EEA RETAIL INVESTORS </w:t>
            </w:r>
            <w:r w:rsidRPr="00721C5E">
              <w:rPr>
                <w:rFonts w:ascii="Arial" w:eastAsia="Arial" w:hAnsi="Arial" w:cs="Arial"/>
                <w:color w:val="000000"/>
                <w:sz w:val="16"/>
                <w:szCs w:val="16"/>
              </w:rPr>
              <w:t>– The securities are not intended to be offered, sold or otherwise made available to and should not be offered, sold or otherwise made available to any retail investor in the EEA. For these purposes: (a) a retail investor means a person who is one (or more) of: (i) a retail client as defined in point (11) of Article 4(1) of Directive 2014/65/EU, as amended (“MiFID II”); or (ii) a customer within the meaning of Directive (EU) 2016/97 (the Insurance Distribution Directive) where that customer would not qualify as a professional client as defined in point (10) of Article 4(1) of MiFID II; or (iii) not a qualified investor as defined in the Prospectus Regulation; and (b) the expression “offer” includes the communication in any form and by any means of sufficient information on the terms of the offer and the securities to be offered so as to enable an investor to decide to purchase or subscribe for the securities. Consequently no key information document required by Regulation (EU) No 1286/2014, as amended (the “PRIIPs Regulation”) for offering or selling the securities or otherwise making them available to retail investors in the EEA has been prepared and therefore offering or selling the securities or otherwise making them available to any retail investor in the EEA may be unlawful under the PRIIPs Regulation.</w:t>
            </w:r>
          </w:p>
          <w:p w14:paraId="11318A11" w14:textId="77777777" w:rsidR="00721C5E" w:rsidRDefault="00721C5E" w:rsidP="00721C5E">
            <w:pPr>
              <w:spacing w:before="66" w:after="66" w:line="200" w:lineRule="atLeast"/>
              <w:rPr>
                <w:rFonts w:ascii="Arial" w:eastAsia="Arial" w:hAnsi="Arial" w:cs="Arial"/>
                <w:b/>
                <w:bCs/>
                <w:color w:val="000000"/>
                <w:sz w:val="16"/>
                <w:szCs w:val="16"/>
              </w:rPr>
            </w:pPr>
            <w:r w:rsidRPr="00721C5E">
              <w:rPr>
                <w:rFonts w:ascii="Arial" w:eastAsia="Arial" w:hAnsi="Arial" w:cs="Arial"/>
                <w:b/>
                <w:bCs/>
                <w:color w:val="000000"/>
                <w:sz w:val="16"/>
                <w:szCs w:val="16"/>
              </w:rPr>
              <w:t xml:space="preserve">PROHIBITION OF SALES TO UNITED KINGDOM RETAIL INVESTORS </w:t>
            </w:r>
            <w:r w:rsidRPr="00721C5E">
              <w:rPr>
                <w:rFonts w:ascii="Arial" w:eastAsia="Arial" w:hAnsi="Arial" w:cs="Arial"/>
                <w:color w:val="000000"/>
                <w:sz w:val="16"/>
                <w:szCs w:val="16"/>
              </w:rPr>
              <w:t>– The securities are not intended to be offered, sold or otherwise made available to and should not be offered, sold or otherwise made available to any retail investor in the United Kingdom. For these purposes: (a) a retail investor means a person who is neither: (i) a professional client as defined in point (8) of Article 2(1) of Regulation (EU) No 600/2014 as it forms part of domestic law in the United Kingdom; nor (ii) a qualified investor as defined in paragraph 15 of Schedule 1 to the Public Offers and Admissions to Trading Regulations 2024 (as may be amended from time to time); and (b) the expression “offer” includes the communication in any form and by any means of sufficient information on the terms of the offer and the securities to be offered so as to enable an investor to decide to purchase or subscribe for the securities. Consequently no key information document required by Regulation (EU) No 1286/2014, as amended (the “PRIIPs Regulation”) for offering or selling the securities or otherwise making them available to retail investors in the United Kingdom has been prepared and therefore offering or selling the securities or otherwise making them available to any retail investor in the United Kingdom may be unlawful under the PRIIPs Regulation.</w:t>
            </w:r>
          </w:p>
          <w:p w14:paraId="5BD6DA69" w14:textId="15E87086" w:rsidR="001541BF" w:rsidRPr="00DF7ED9" w:rsidRDefault="00C24AAF" w:rsidP="00721C5E">
            <w:pPr>
              <w:spacing w:before="66" w:after="66" w:line="200" w:lineRule="atLeast"/>
              <w:rPr>
                <w:rFonts w:ascii="Arial" w:eastAsia="Arial" w:hAnsi="Arial" w:cs="Arial"/>
                <w:color w:val="000000"/>
                <w:sz w:val="16"/>
                <w:szCs w:val="16"/>
              </w:rPr>
            </w:pPr>
            <w:r w:rsidRPr="00DF7ED9">
              <w:rPr>
                <w:rFonts w:ascii="Arial" w:eastAsia="Arial" w:hAnsi="Arial" w:cs="Arial"/>
                <w:b/>
                <w:bCs/>
                <w:color w:val="000000"/>
                <w:sz w:val="16"/>
                <w:szCs w:val="16"/>
              </w:rPr>
              <w:t>United Kingdom</w:t>
            </w:r>
          </w:p>
          <w:p w14:paraId="5C85C476" w14:textId="77777777" w:rsidR="001541BF" w:rsidRPr="00DF7ED9" w:rsidRDefault="00C24AAF" w:rsidP="00261F14">
            <w:pPr>
              <w:spacing w:before="66" w:after="66" w:line="200" w:lineRule="atLeast"/>
              <w:rPr>
                <w:rFonts w:ascii="Arial" w:eastAsia="Arial" w:hAnsi="Arial" w:cs="Arial"/>
                <w:color w:val="000000"/>
                <w:sz w:val="16"/>
                <w:szCs w:val="16"/>
              </w:rPr>
            </w:pPr>
            <w:r w:rsidRPr="00DF7ED9">
              <w:rPr>
                <w:rFonts w:ascii="Arial" w:eastAsia="Arial" w:hAnsi="Arial" w:cs="Arial"/>
                <w:color w:val="000000"/>
                <w:sz w:val="16"/>
                <w:szCs w:val="16"/>
              </w:rPr>
              <w:t xml:space="preserve">The communication of this pricing supplement, the accompanying product supplement, the accompanying prospectus supplement, the accompanying prospectus and any other document or materials relating to the issue of the securities offered hereby is not being made, and such documents and/or materials have not been approved, by an authorized person for the purposes of section 21 of the United Kingdom’s Financial Services and Markets Act 2000, as amended (the “FSMA”). Accordingly, such documents and/or materials are not being distributed to, and must not be passed on to, the general public in the United Kingdom. The communication of such documents and/or materials as a financial promotion is only being made to those persons in the United Kingdom who have professional experience in matters relating to investments and who fall within the definition of investment professionals (as defined in Article 19(5) of the Financial Services and Markets Act 2000 (Financial Promotion) Order 2005, as amended (the “Financial Promotion Order”)), or who fall within Article 49(2)(a) to (d) of the Financial Promotion Order, or who are any other persons to whom it may otherwise lawfully be made under the Financial Promotion Order (all such persons together being referred to as </w:t>
            </w:r>
            <w:r w:rsidRPr="00DF7ED9">
              <w:rPr>
                <w:rFonts w:ascii="Arial" w:eastAsia="Arial" w:hAnsi="Arial" w:cs="Arial"/>
                <w:color w:val="000000"/>
                <w:sz w:val="16"/>
                <w:szCs w:val="16"/>
              </w:rPr>
              <w:lastRenderedPageBreak/>
              <w:t>“relevant persons”). In the United Kingdom, the securities offered hereby are only available to, and any investment or investment activity to which this pricing supplement, the accompanying product supplement, the accompanying prospectus supplement and the accompanying prospectus relates will be engaged in only with, relevant persons. Any person in the United Kingdom that is not a relevant person should not act or rely on this pricing supplement, the accompanying product supplement, the accompanying prospectus supplement or the accompanying prospectus or any of their contents.</w:t>
            </w:r>
          </w:p>
          <w:p w14:paraId="12CEC64D" w14:textId="77777777" w:rsidR="001541BF" w:rsidRPr="00DF7ED9" w:rsidRDefault="00C24AAF" w:rsidP="00261F14">
            <w:pPr>
              <w:spacing w:before="66" w:after="66" w:line="200" w:lineRule="atLeast"/>
              <w:rPr>
                <w:rFonts w:ascii="Arial" w:eastAsia="Arial" w:hAnsi="Arial" w:cs="Arial"/>
                <w:color w:val="000000"/>
                <w:sz w:val="16"/>
                <w:szCs w:val="16"/>
              </w:rPr>
            </w:pPr>
            <w:r w:rsidRPr="00DF7ED9">
              <w:rPr>
                <w:rFonts w:ascii="Arial" w:eastAsia="Arial" w:hAnsi="Arial" w:cs="Arial"/>
                <w:color w:val="000000"/>
                <w:sz w:val="16"/>
                <w:szCs w:val="16"/>
              </w:rPr>
              <w:t>Any invitation or inducement to engage in investment activity (within the meaning of Section 21 of the FSMA) in connection with the issue or sale of the securities may only be communicated or caused to be communicated in circumstances in which Section 21(1) of the FSMA does not apply to BofA Finance, as issuer, or BAC, as guarantor.</w:t>
            </w:r>
          </w:p>
          <w:p w14:paraId="219A2CE0" w14:textId="77777777" w:rsidR="002C6D14" w:rsidRPr="00DF7ED9" w:rsidRDefault="00C24AAF" w:rsidP="00261F14">
            <w:pPr>
              <w:spacing w:before="66" w:after="66" w:line="200" w:lineRule="atLeast"/>
              <w:rPr>
                <w:color w:val="000000"/>
              </w:rPr>
            </w:pPr>
            <w:r w:rsidRPr="00DF7ED9">
              <w:rPr>
                <w:rFonts w:ascii="Arial" w:eastAsia="Arial" w:hAnsi="Arial" w:cs="Arial"/>
                <w:color w:val="000000"/>
                <w:sz w:val="16"/>
                <w:szCs w:val="16"/>
              </w:rPr>
              <w:t>All applicable provisions of the FSMA must be complied with in respect to anything done by any person in relation to the securities in, from or otherwise involving the United Kingdom.</w:t>
            </w:r>
          </w:p>
        </w:tc>
      </w:tr>
      <w:tr w:rsidR="00BD53EC" w:rsidRPr="00DF7ED9" w14:paraId="6634E132" w14:textId="1988AC48" w:rsidTr="00155852">
        <w:trPr>
          <w:cantSplit/>
          <w:trHeight w:val="4706"/>
          <w:tblCellSpacing w:w="0" w:type="dxa"/>
        </w:trPr>
        <w:tc>
          <w:tcPr>
            <w:tcW w:w="1262" w:type="pct"/>
            <w:shd w:val="clear" w:color="auto" w:fill="FFFFFF" w:themeFill="background1"/>
            <w:tcMar>
              <w:top w:w="0" w:type="dxa"/>
              <w:left w:w="64" w:type="dxa"/>
              <w:bottom w:w="0" w:type="dxa"/>
              <w:right w:w="64" w:type="dxa"/>
            </w:tcMar>
            <w:hideMark/>
          </w:tcPr>
          <w:p w14:paraId="2DBD6F95" w14:textId="3E8F7BDB" w:rsidR="002C6D14" w:rsidRDefault="00C24AAF" w:rsidP="00CD1E9C">
            <w:pPr>
              <w:spacing w:after="66" w:line="200" w:lineRule="atLeast"/>
              <w:rPr>
                <w:rFonts w:ascii="Arial" w:eastAsia="Arial" w:hAnsi="Arial" w:cs="Arial"/>
                <w:b/>
                <w:bCs/>
                <w:color w:val="296DC1"/>
                <w:sz w:val="16"/>
                <w:szCs w:val="16"/>
              </w:rPr>
            </w:pPr>
            <w:r w:rsidRPr="00DF7ED9">
              <w:rPr>
                <w:rFonts w:ascii="Arial" w:eastAsia="Arial" w:hAnsi="Arial" w:cs="Arial"/>
                <w:b/>
                <w:bCs/>
                <w:color w:val="296DC1"/>
                <w:sz w:val="16"/>
                <w:szCs w:val="16"/>
              </w:rPr>
              <w:lastRenderedPageBreak/>
              <w:t>Where you can find more information:</w:t>
            </w:r>
          </w:p>
          <w:p w14:paraId="45D6A08B" w14:textId="313687BA" w:rsidR="00155852" w:rsidRDefault="00155852" w:rsidP="00CD1E9C">
            <w:pPr>
              <w:spacing w:after="66" w:line="200" w:lineRule="atLeast"/>
              <w:rPr>
                <w:rFonts w:ascii="Arial" w:eastAsia="Arial" w:hAnsi="Arial" w:cs="Arial"/>
                <w:b/>
                <w:bCs/>
                <w:color w:val="296DC1"/>
                <w:sz w:val="16"/>
                <w:szCs w:val="16"/>
              </w:rPr>
            </w:pPr>
          </w:p>
          <w:p w14:paraId="208582A4" w14:textId="4528D39C" w:rsidR="00155852" w:rsidRDefault="00155852" w:rsidP="00CD1E9C">
            <w:pPr>
              <w:spacing w:after="66" w:line="200" w:lineRule="atLeast"/>
              <w:rPr>
                <w:rFonts w:ascii="Arial" w:eastAsia="Arial" w:hAnsi="Arial" w:cs="Arial"/>
                <w:b/>
                <w:bCs/>
                <w:color w:val="296DC1"/>
                <w:sz w:val="16"/>
                <w:szCs w:val="16"/>
              </w:rPr>
            </w:pPr>
          </w:p>
          <w:p w14:paraId="18978042" w14:textId="4A4AEDB9" w:rsidR="00155852" w:rsidRDefault="00155852" w:rsidP="00CD1E9C">
            <w:pPr>
              <w:spacing w:after="66" w:line="200" w:lineRule="atLeast"/>
              <w:rPr>
                <w:rFonts w:ascii="Arial" w:eastAsia="Arial" w:hAnsi="Arial" w:cs="Arial"/>
                <w:b/>
                <w:bCs/>
                <w:color w:val="296DC1"/>
                <w:sz w:val="16"/>
                <w:szCs w:val="16"/>
              </w:rPr>
            </w:pPr>
          </w:p>
          <w:p w14:paraId="798BDCA1" w14:textId="378EBB2F" w:rsidR="00155852" w:rsidRDefault="00155852" w:rsidP="00CD1E9C">
            <w:pPr>
              <w:spacing w:after="66" w:line="200" w:lineRule="atLeast"/>
              <w:rPr>
                <w:rFonts w:ascii="Arial" w:eastAsia="Arial" w:hAnsi="Arial" w:cs="Arial"/>
                <w:b/>
                <w:bCs/>
                <w:color w:val="296DC1"/>
                <w:sz w:val="16"/>
                <w:szCs w:val="16"/>
              </w:rPr>
            </w:pPr>
          </w:p>
          <w:p w14:paraId="62FB6D16" w14:textId="79AFBFE7" w:rsidR="00155852" w:rsidRPr="00DF7ED9" w:rsidRDefault="00155852" w:rsidP="00CD1E9C">
            <w:pPr>
              <w:spacing w:after="66" w:line="200" w:lineRule="atLeast"/>
              <w:rPr>
                <w:color w:val="000000"/>
              </w:rPr>
            </w:pPr>
          </w:p>
        </w:tc>
        <w:tc>
          <w:tcPr>
            <w:tcW w:w="3738" w:type="pct"/>
            <w:shd w:val="clear" w:color="auto" w:fill="FFFFFF" w:themeFill="background1"/>
            <w:tcMar>
              <w:top w:w="0" w:type="dxa"/>
              <w:left w:w="64" w:type="dxa"/>
              <w:bottom w:w="0" w:type="dxa"/>
              <w:right w:w="64" w:type="dxa"/>
            </w:tcMar>
            <w:hideMark/>
          </w:tcPr>
          <w:p w14:paraId="6294E0B2" w14:textId="457468E7" w:rsidR="002C6D14" w:rsidRPr="00DF7ED9" w:rsidRDefault="00C24AAF" w:rsidP="00261F14">
            <w:pPr>
              <w:spacing w:before="66" w:after="66" w:line="200" w:lineRule="atLeast"/>
              <w:rPr>
                <w:color w:val="000000"/>
              </w:rPr>
            </w:pPr>
            <w:r w:rsidRPr="00DF7ED9">
              <w:rPr>
                <w:rFonts w:ascii="Arial" w:eastAsia="Arial" w:hAnsi="Arial" w:cs="Arial"/>
                <w:color w:val="000000"/>
                <w:sz w:val="16"/>
                <w:szCs w:val="16"/>
              </w:rPr>
              <w:t xml:space="preserve">This pricing supplement and the accompanying product supplement, prospectus supplement and prospectus have been filed as part of a registration statement with the SEC, which may, without cost, be accessed on the SEC website at www.sec.gov or obtained from BofAS by calling 1-800-294-1322. </w:t>
            </w:r>
            <w:bookmarkStart w:id="3" w:name="_Hlk121404422"/>
            <w:r w:rsidRPr="00DF7ED9">
              <w:rPr>
                <w:rFonts w:ascii="Arial" w:eastAsia="Arial" w:hAnsi="Arial" w:cs="Arial"/>
                <w:color w:val="000000"/>
                <w:sz w:val="16"/>
                <w:szCs w:val="16"/>
              </w:rPr>
              <w:t xml:space="preserve">Before you invest, you should read this pricing supplement and the accompanying product supplement, prospectus supplement and prospectus for information about us, BAC and this offering. </w:t>
            </w:r>
            <w:bookmarkEnd w:id="3"/>
            <w:r w:rsidRPr="00DF7ED9">
              <w:rPr>
                <w:rFonts w:ascii="Arial" w:eastAsia="Arial" w:hAnsi="Arial" w:cs="Arial"/>
                <w:color w:val="000000"/>
                <w:sz w:val="16"/>
                <w:szCs w:val="16"/>
              </w:rPr>
              <w:t xml:space="preserve">Any prior or contemporaneous oral statements and any other written materials you may have received are superseded by this pricing supplement and the accompanying product supplement, prospectus supplement and prospectus. </w:t>
            </w:r>
            <w:bookmarkStart w:id="4" w:name="_Hlk121414358"/>
            <w:r w:rsidRPr="00DF7ED9">
              <w:rPr>
                <w:rFonts w:ascii="Arial" w:eastAsia="Arial" w:hAnsi="Arial" w:cs="Arial"/>
                <w:color w:val="000000"/>
                <w:sz w:val="16"/>
                <w:szCs w:val="16"/>
              </w:rPr>
              <w:t xml:space="preserve">Certain terms used but not defined in this pricing supplement have the meanings set forth in the accompanying product supplement or prospectus supplement. </w:t>
            </w:r>
            <w:bookmarkEnd w:id="4"/>
          </w:p>
          <w:p w14:paraId="047D0899" w14:textId="05CEAE0B" w:rsidR="001541BF" w:rsidRPr="00DF7ED9" w:rsidRDefault="00C24AAF" w:rsidP="00344C6A">
            <w:pPr>
              <w:pStyle w:val="FontBodyRegularNoJustify"/>
              <w:rPr>
                <w:rFonts w:ascii="Arial" w:hAnsi="Arial" w:cs="Arial"/>
                <w:color w:val="auto"/>
              </w:rPr>
            </w:pPr>
            <w:r w:rsidRPr="00DF7ED9">
              <w:rPr>
                <w:rFonts w:ascii="Arial" w:hAnsi="Arial" w:cs="Arial"/>
                <w:color w:val="auto"/>
              </w:rPr>
              <w:t xml:space="preserve">The terms and risks of the </w:t>
            </w:r>
            <w:r w:rsidR="00344C6A" w:rsidRPr="00DF7ED9">
              <w:rPr>
                <w:rFonts w:ascii="Arial" w:hAnsi="Arial" w:cs="Arial"/>
                <w:color w:val="auto"/>
              </w:rPr>
              <w:t>securities</w:t>
            </w:r>
            <w:r w:rsidRPr="00DF7ED9">
              <w:rPr>
                <w:rFonts w:ascii="Arial" w:hAnsi="Arial" w:cs="Arial"/>
                <w:color w:val="auto"/>
              </w:rPr>
              <w:t xml:space="preserve"> are contained in this pricing supplement and in the following related product supplement, prospectus supplement and prospectus, which can be accessed at the following links:</w:t>
            </w:r>
          </w:p>
          <w:p w14:paraId="4BBF99B1" w14:textId="64F78EB8" w:rsidR="001541BF" w:rsidRPr="00DF7ED9" w:rsidRDefault="001541BF" w:rsidP="00261F14">
            <w:pPr>
              <w:pStyle w:val="FontBodyRegularJustify"/>
              <w:rPr>
                <w:rFonts w:ascii="Arial" w:hAnsi="Arial" w:cs="Arial"/>
                <w:color w:val="auto"/>
              </w:rPr>
            </w:pPr>
          </w:p>
          <w:p w14:paraId="349F119A" w14:textId="4073A0CE" w:rsidR="00945051" w:rsidRPr="00D13216" w:rsidRDefault="00945051" w:rsidP="00945051">
            <w:pPr>
              <w:pStyle w:val="BulletedListBlueNoJustifyListBodyGrey2ListItem"/>
              <w:widowControl w:val="0"/>
              <w:numPr>
                <w:ilvl w:val="0"/>
                <w:numId w:val="17"/>
              </w:numPr>
              <w:rPr>
                <w:rFonts w:ascii="Arial" w:hAnsi="Arial" w:cs="Arial"/>
                <w:color w:val="0000FF" w:themeColor="hyperlink"/>
                <w:szCs w:val="16"/>
                <w:u w:val="single"/>
              </w:rPr>
            </w:pPr>
            <w:bookmarkStart w:id="5" w:name="_Hlk121404661"/>
            <w:r w:rsidRPr="00146A7A">
              <w:rPr>
                <w:rStyle w:val="GreyDarkerbody"/>
                <w:rFonts w:ascii="Arial" w:hAnsi="Arial" w:cs="Arial"/>
                <w:color w:val="auto"/>
                <w:szCs w:val="16"/>
              </w:rPr>
              <w:t xml:space="preserve">Product Supplement EQUITY-1 dated </w:t>
            </w:r>
            <w:bookmarkEnd w:id="5"/>
            <w:r w:rsidRPr="00146A7A">
              <w:rPr>
                <w:rStyle w:val="GreyDarkerbody"/>
                <w:rFonts w:ascii="Arial" w:hAnsi="Arial" w:cs="Arial"/>
                <w:color w:val="auto"/>
                <w:szCs w:val="16"/>
              </w:rPr>
              <w:t xml:space="preserve">December </w:t>
            </w:r>
            <w:r>
              <w:rPr>
                <w:rStyle w:val="GreyDarkerbody"/>
                <w:rFonts w:ascii="Arial" w:hAnsi="Arial" w:cs="Arial"/>
                <w:color w:val="auto"/>
                <w:szCs w:val="16"/>
              </w:rPr>
              <w:t>8</w:t>
            </w:r>
            <w:r w:rsidRPr="00146A7A">
              <w:rPr>
                <w:rStyle w:val="GreyDarkerbody"/>
                <w:rFonts w:ascii="Arial" w:hAnsi="Arial" w:cs="Arial"/>
                <w:color w:val="auto"/>
                <w:szCs w:val="16"/>
              </w:rPr>
              <w:t>, 202</w:t>
            </w:r>
            <w:r>
              <w:rPr>
                <w:rStyle w:val="GreyDarkerbody"/>
                <w:rFonts w:ascii="Arial" w:hAnsi="Arial" w:cs="Arial"/>
                <w:color w:val="auto"/>
                <w:szCs w:val="16"/>
              </w:rPr>
              <w:t>5</w:t>
            </w:r>
            <w:r w:rsidRPr="00146A7A">
              <w:rPr>
                <w:rStyle w:val="GreyDarkerbody"/>
                <w:rFonts w:ascii="Arial" w:hAnsi="Arial" w:cs="Arial"/>
                <w:color w:val="auto"/>
                <w:szCs w:val="16"/>
              </w:rPr>
              <w:t xml:space="preserve">: </w:t>
            </w:r>
            <w:r w:rsidRPr="00146A7A">
              <w:t xml:space="preserve"> </w:t>
            </w:r>
          </w:p>
          <w:p w14:paraId="5573231A" w14:textId="369DE03E" w:rsidR="00945051" w:rsidRPr="00D13216" w:rsidRDefault="00945051" w:rsidP="00945051">
            <w:pPr>
              <w:pStyle w:val="BulletedListBlueNoJustifyListBodyGrey2ListItem"/>
              <w:widowControl w:val="0"/>
              <w:ind w:left="360"/>
              <w:rPr>
                <w:rStyle w:val="Hyperlink"/>
                <w:rFonts w:ascii="Arial" w:hAnsi="Arial" w:cs="Arial"/>
                <w:szCs w:val="16"/>
              </w:rPr>
            </w:pPr>
            <w:r>
              <w:rPr>
                <w:rFonts w:ascii="Arial" w:hAnsi="Arial" w:cs="Arial"/>
                <w:szCs w:val="16"/>
              </w:rPr>
              <w:fldChar w:fldCharType="begin"/>
            </w:r>
            <w:r>
              <w:rPr>
                <w:rFonts w:ascii="Arial" w:hAnsi="Arial" w:cs="Arial"/>
                <w:szCs w:val="16"/>
              </w:rPr>
              <w:instrText>HYPERLINK "https://www.sec.gov/Archives/edgar/data/70858/000119312525311320/d49145d424b2.htm"</w:instrText>
            </w:r>
            <w:r>
              <w:rPr>
                <w:rFonts w:ascii="Arial" w:hAnsi="Arial" w:cs="Arial"/>
                <w:szCs w:val="16"/>
              </w:rPr>
            </w:r>
            <w:r>
              <w:rPr>
                <w:rFonts w:ascii="Arial" w:hAnsi="Arial" w:cs="Arial"/>
                <w:szCs w:val="16"/>
              </w:rPr>
              <w:fldChar w:fldCharType="separate"/>
            </w:r>
            <w:r w:rsidRPr="00D13216">
              <w:rPr>
                <w:rStyle w:val="Hyperlink"/>
                <w:rFonts w:ascii="Arial" w:hAnsi="Arial" w:cs="Arial"/>
                <w:szCs w:val="16"/>
              </w:rPr>
              <w:t>https://www.sec.gov/Archives/edgar/data/70858/000119312525311320/d49145d424b2.htm</w:t>
            </w:r>
          </w:p>
          <w:p w14:paraId="3D167456" w14:textId="38B8B7E3" w:rsidR="00945051" w:rsidRPr="00945051" w:rsidRDefault="00945051" w:rsidP="00945051">
            <w:pPr>
              <w:pStyle w:val="ListParagraph"/>
              <w:numPr>
                <w:ilvl w:val="0"/>
                <w:numId w:val="17"/>
              </w:numPr>
              <w:rPr>
                <w:rStyle w:val="GreyDarkerbody"/>
                <w:rFonts w:ascii="Arial" w:eastAsia="Helvetica" w:hAnsi="Arial" w:cs="Arial"/>
                <w:color w:val="auto"/>
                <w:sz w:val="16"/>
                <w:szCs w:val="16"/>
              </w:rPr>
            </w:pPr>
            <w:r>
              <w:rPr>
                <w:rFonts w:ascii="Arial" w:eastAsia="Helvetica" w:hAnsi="Arial" w:cs="Arial"/>
                <w:color w:val="58595B"/>
                <w:sz w:val="16"/>
                <w:szCs w:val="16"/>
              </w:rPr>
              <w:fldChar w:fldCharType="end"/>
            </w:r>
            <w:r w:rsidRPr="00945051">
              <w:rPr>
                <w:rStyle w:val="GreyDarkerbody"/>
                <w:rFonts w:ascii="Arial" w:eastAsia="Helvetica" w:hAnsi="Arial" w:cs="Arial"/>
                <w:color w:val="auto"/>
                <w:sz w:val="16"/>
                <w:szCs w:val="16"/>
              </w:rPr>
              <w:t>Series A MTN prospectus supplement dated December 8, 2025 and prospectus dated December 8, 2025:</w:t>
            </w:r>
          </w:p>
          <w:p w14:paraId="3BA74815" w14:textId="20080EF4" w:rsidR="0044592A" w:rsidRPr="00DF7ED9" w:rsidRDefault="00945051" w:rsidP="00945051">
            <w:pPr>
              <w:pStyle w:val="BulletedListBlueNoJustifyListBodyGrey2ListItem"/>
              <w:widowControl w:val="0"/>
              <w:spacing w:after="0"/>
              <w:ind w:left="360"/>
              <w:rPr>
                <w:rStyle w:val="Hyperlink"/>
                <w:rFonts w:ascii="Arial" w:hAnsi="Arial" w:cs="Arial"/>
              </w:rPr>
            </w:pPr>
            <w:hyperlink r:id="rId17" w:history="1">
              <w:r w:rsidRPr="00806F63">
                <w:rPr>
                  <w:rStyle w:val="Hyperlink"/>
                </w:rPr>
                <w:t>https://www.sec.gov/Archives/edgar/data/</w:t>
              </w:r>
              <w:r w:rsidRPr="00806F63">
                <w:rPr>
                  <w:rStyle w:val="Hyperlink"/>
                  <w:rFonts w:ascii="Calibri" w:hAnsi="Calibri" w:cs="Calibri"/>
                </w:rPr>
                <w:t>70858/000119312525310920/d51586d424b3</w:t>
              </w:r>
              <w:r w:rsidRPr="00806F63">
                <w:rPr>
                  <w:rStyle w:val="Hyperlink"/>
                </w:rPr>
                <w:t>.htm</w:t>
              </w:r>
            </w:hyperlink>
          </w:p>
          <w:p w14:paraId="4902C00C" w14:textId="7032705E" w:rsidR="005129F2" w:rsidRPr="00DF7ED9" w:rsidRDefault="005129F2" w:rsidP="00200394">
            <w:pPr>
              <w:pStyle w:val="BulletedListBlueNoJustifyListBodyGrey2ListItem"/>
              <w:spacing w:after="0"/>
              <w:ind w:left="360"/>
              <w:rPr>
                <w:rStyle w:val="Hyperlink"/>
              </w:rPr>
            </w:pPr>
          </w:p>
          <w:p w14:paraId="58B300DC" w14:textId="185B0FAC" w:rsidR="00155852" w:rsidRPr="00155852" w:rsidRDefault="005129F2" w:rsidP="005129F2">
            <w:pPr>
              <w:pStyle w:val="BulletedListBlueNoJustifyListBodyGrey2ListItem"/>
              <w:spacing w:after="0"/>
              <w:rPr>
                <w:color w:val="000000"/>
                <w:szCs w:val="16"/>
                <w:u w:val="single"/>
              </w:rPr>
            </w:pPr>
            <w:r w:rsidRPr="00DF7ED9">
              <w:rPr>
                <w:rFonts w:ascii="Arial" w:eastAsia="Arial" w:hAnsi="Arial" w:cs="Arial"/>
                <w:color w:val="000000"/>
                <w:szCs w:val="16"/>
              </w:rPr>
              <w:t xml:space="preserve">Please note that, for purposes of this pricing supplement, references in the accompanying product supplement EQUITY-1 to </w:t>
            </w:r>
            <w:r w:rsidR="003613A5" w:rsidRPr="00DF7ED9">
              <w:rPr>
                <w:rFonts w:ascii="Arial" w:eastAsia="Arial" w:hAnsi="Arial" w:cs="Arial"/>
                <w:color w:val="000000"/>
                <w:szCs w:val="16"/>
              </w:rPr>
              <w:t>“closing level”, “Underlying”</w:t>
            </w:r>
            <w:r w:rsidR="00262AA1" w:rsidRPr="00DF7ED9">
              <w:rPr>
                <w:rFonts w:ascii="Arial" w:eastAsia="Arial" w:hAnsi="Arial" w:cs="Arial"/>
                <w:color w:val="000000"/>
                <w:szCs w:val="16"/>
              </w:rPr>
              <w:t>, “Index Publisher”</w:t>
            </w:r>
            <w:r w:rsidR="003613A5" w:rsidRPr="00DF7ED9">
              <w:rPr>
                <w:rFonts w:ascii="Arial" w:eastAsia="Arial" w:hAnsi="Arial" w:cs="Arial"/>
                <w:color w:val="000000"/>
                <w:szCs w:val="16"/>
              </w:rPr>
              <w:t xml:space="preserve"> and “Index”</w:t>
            </w:r>
            <w:r w:rsidRPr="00DF7ED9">
              <w:rPr>
                <w:rFonts w:ascii="Arial" w:eastAsia="Arial" w:hAnsi="Arial" w:cs="Arial"/>
                <w:color w:val="000000"/>
                <w:szCs w:val="16"/>
              </w:rPr>
              <w:t xml:space="preserve"> shall be deemed to refer to </w:t>
            </w:r>
            <w:r w:rsidR="003613A5" w:rsidRPr="00DF7ED9">
              <w:rPr>
                <w:rFonts w:ascii="Arial" w:eastAsia="Arial" w:hAnsi="Arial" w:cs="Arial"/>
                <w:color w:val="000000"/>
                <w:szCs w:val="16"/>
              </w:rPr>
              <w:t>“index closing value”</w:t>
            </w:r>
            <w:r w:rsidRPr="00DF7ED9">
              <w:rPr>
                <w:rFonts w:ascii="Arial" w:eastAsia="Arial" w:hAnsi="Arial" w:cs="Arial"/>
                <w:color w:val="000000"/>
                <w:szCs w:val="16"/>
              </w:rPr>
              <w:t>,</w:t>
            </w:r>
            <w:r w:rsidR="003613A5" w:rsidRPr="00DF7ED9">
              <w:rPr>
                <w:rFonts w:ascii="Arial" w:eastAsia="Arial" w:hAnsi="Arial" w:cs="Arial"/>
                <w:color w:val="000000"/>
                <w:szCs w:val="16"/>
              </w:rPr>
              <w:t xml:space="preserve"> “underlying index”</w:t>
            </w:r>
            <w:r w:rsidR="00262AA1" w:rsidRPr="00DF7ED9">
              <w:rPr>
                <w:rFonts w:ascii="Arial" w:eastAsia="Arial" w:hAnsi="Arial" w:cs="Arial"/>
                <w:color w:val="000000"/>
                <w:szCs w:val="16"/>
              </w:rPr>
              <w:t>, “underlying index sponsor”</w:t>
            </w:r>
            <w:r w:rsidRPr="00DF7ED9">
              <w:rPr>
                <w:rFonts w:ascii="Arial" w:eastAsia="Arial" w:hAnsi="Arial" w:cs="Arial"/>
                <w:color w:val="000000"/>
                <w:szCs w:val="16"/>
              </w:rPr>
              <w:t xml:space="preserve"> </w:t>
            </w:r>
            <w:r w:rsidR="00262AA1" w:rsidRPr="00DF7ED9">
              <w:rPr>
                <w:rFonts w:ascii="Arial" w:eastAsia="Arial" w:hAnsi="Arial" w:cs="Arial"/>
                <w:color w:val="000000"/>
                <w:szCs w:val="16"/>
              </w:rPr>
              <w:t xml:space="preserve">and “underlying index” </w:t>
            </w:r>
            <w:r w:rsidRPr="00DF7ED9">
              <w:rPr>
                <w:rFonts w:ascii="Arial" w:eastAsia="Arial" w:hAnsi="Arial" w:cs="Arial"/>
                <w:color w:val="000000"/>
                <w:szCs w:val="16"/>
              </w:rPr>
              <w:t xml:space="preserve">respectively. </w:t>
            </w:r>
          </w:p>
        </w:tc>
      </w:tr>
      <w:tr w:rsidR="006B5561" w:rsidRPr="00DF7ED9" w14:paraId="355ACA45" w14:textId="77777777" w:rsidTr="00407886">
        <w:trPr>
          <w:cantSplit/>
          <w:trHeight w:val="4706"/>
          <w:tblCellSpacing w:w="0" w:type="dxa"/>
        </w:trPr>
        <w:tc>
          <w:tcPr>
            <w:tcW w:w="1262" w:type="pct"/>
            <w:shd w:val="clear" w:color="auto" w:fill="DCEBF4"/>
            <w:tcMar>
              <w:top w:w="0" w:type="dxa"/>
              <w:left w:w="64" w:type="dxa"/>
              <w:bottom w:w="0" w:type="dxa"/>
              <w:right w:w="64" w:type="dxa"/>
            </w:tcMar>
          </w:tcPr>
          <w:p w14:paraId="102E14F5" w14:textId="77777777" w:rsidR="006B5561" w:rsidRDefault="006B5561" w:rsidP="006B5561">
            <w:pPr>
              <w:spacing w:after="66" w:line="200" w:lineRule="atLeast"/>
              <w:rPr>
                <w:rFonts w:ascii="Arial" w:eastAsia="Arial" w:hAnsi="Arial" w:cs="Arial"/>
                <w:b/>
                <w:bCs/>
                <w:color w:val="296DC1"/>
                <w:sz w:val="16"/>
                <w:szCs w:val="16"/>
              </w:rPr>
            </w:pPr>
            <w:r>
              <w:rPr>
                <w:rFonts w:ascii="Arial" w:eastAsia="Arial" w:hAnsi="Arial" w:cs="Arial"/>
                <w:b/>
                <w:bCs/>
                <w:color w:val="296DC1"/>
                <w:sz w:val="16"/>
                <w:szCs w:val="16"/>
              </w:rPr>
              <w:t>Validity of the securities</w:t>
            </w:r>
            <w:r w:rsidRPr="00DF7ED9">
              <w:rPr>
                <w:rFonts w:ascii="Arial" w:eastAsia="Arial" w:hAnsi="Arial" w:cs="Arial"/>
                <w:b/>
                <w:bCs/>
                <w:color w:val="296DC1"/>
                <w:sz w:val="16"/>
                <w:szCs w:val="16"/>
              </w:rPr>
              <w:t>:</w:t>
            </w:r>
            <w:r w:rsidRPr="00DF7ED9">
              <w:rPr>
                <w:rFonts w:ascii="Arial" w:eastAsia="Arial" w:hAnsi="Arial" w:cs="Arial"/>
                <w:sz w:val="18"/>
                <w:szCs w:val="18"/>
              </w:rPr>
              <w:t> </w:t>
            </w:r>
          </w:p>
          <w:p w14:paraId="33EA0A69" w14:textId="77777777" w:rsidR="006B5561" w:rsidRPr="00DF7ED9" w:rsidRDefault="006B5561" w:rsidP="00CD1E9C">
            <w:pPr>
              <w:spacing w:after="66" w:line="200" w:lineRule="atLeast"/>
              <w:rPr>
                <w:rFonts w:ascii="Arial" w:eastAsia="Arial" w:hAnsi="Arial" w:cs="Arial"/>
                <w:b/>
                <w:bCs/>
                <w:color w:val="296DC1"/>
                <w:sz w:val="16"/>
                <w:szCs w:val="16"/>
              </w:rPr>
            </w:pPr>
          </w:p>
        </w:tc>
        <w:tc>
          <w:tcPr>
            <w:tcW w:w="3738" w:type="pct"/>
            <w:shd w:val="clear" w:color="auto" w:fill="DCEBF4"/>
            <w:tcMar>
              <w:top w:w="0" w:type="dxa"/>
              <w:left w:w="64" w:type="dxa"/>
              <w:bottom w:w="0" w:type="dxa"/>
              <w:right w:w="64" w:type="dxa"/>
            </w:tcMar>
          </w:tcPr>
          <w:p w14:paraId="349E3B6E" w14:textId="50D1E25D" w:rsidR="006B5561" w:rsidRPr="006B5561" w:rsidRDefault="006B5561" w:rsidP="00261F14">
            <w:pPr>
              <w:spacing w:before="66" w:after="66" w:line="200" w:lineRule="atLeast"/>
              <w:rPr>
                <w:rFonts w:ascii="Arial" w:eastAsia="Arial" w:hAnsi="Arial" w:cs="Arial"/>
                <w:color w:val="000000"/>
                <w:sz w:val="16"/>
                <w:szCs w:val="16"/>
              </w:rPr>
            </w:pPr>
            <w:r w:rsidRPr="00407886">
              <w:rPr>
                <w:rFonts w:ascii="Arial" w:eastAsia="Arial" w:hAnsi="Arial" w:cs="Arial"/>
                <w:sz w:val="16"/>
                <w:szCs w:val="16"/>
              </w:rPr>
              <w:t>In the opinion of Sidley Austin LLP, as counsel to BofA Finance and BAC, when the trustee has made the appropriate entries or notations on Schedule 1 to the master global note that represents the securities (the “Master Note”) identifying the securities offered hereby as supplemental obligations thereunder in accordance with the instructions of BofA Finance, and the securities have been delivered against payment as contemplated herein, such securities will be valid and binding obligations of BofA Finance, and the related guarantee will be a valid and binding obligation of BAC, in each case, enforceable in accordance with their terms, subject to applicable bankruptcy, insolvency and similar laws affecting creditors’ rights generally, concepts of reasonableness and equitable principles of general applicability (including, without limitation, concepts of good faith, fair dealing and the lack of bad faith), provided that such counsel expresses no opinion as to the effect of fraudulent conveyance, fraudulent transfer or similar provision of applicable law on the conclusions expressed above. This opinion is given as of the date hereof and is limited to the Delaware Limited Liability Company Act, the Delaware General Corporation Law and the laws of the State of New York as in effect on the date hereof. In addition, this opinion is subject to customary assumptions about the trustee’s authorization, execution and delivery of the indenture and due authentication of the Master Note and the genuineness of signatures and certain factual matters, all as stated in the letter of such counsel dated October 1, 2025 which has been filed as Exhibit 5.3 to the Company’s Registration Statement on Form S-3 filed with the Securities and Exchange Commission on October 1, 2025.</w:t>
            </w:r>
          </w:p>
        </w:tc>
      </w:tr>
    </w:tbl>
    <w:p w14:paraId="15B01CE0" w14:textId="75E6985E" w:rsidR="00262AA1" w:rsidRPr="00DF7ED9" w:rsidRDefault="00262AA1" w:rsidP="00155852">
      <w:pPr>
        <w:spacing w:after="400"/>
        <w:ind w:right="792"/>
        <w:rPr>
          <w:rFonts w:ascii="Arial" w:eastAsia="Arial" w:hAnsi="Arial" w:cs="Arial"/>
          <w:sz w:val="18"/>
          <w:szCs w:val="18"/>
        </w:rPr>
      </w:pPr>
      <w:r w:rsidRPr="00DF7ED9">
        <w:rPr>
          <w:rFonts w:ascii="Arial" w:eastAsia="Arial" w:hAnsi="Arial" w:cs="Arial"/>
          <w:sz w:val="18"/>
          <w:szCs w:val="18"/>
        </w:rPr>
        <w:br w:type="page"/>
      </w:r>
    </w:p>
    <w:p w14:paraId="1FBA6C7B" w14:textId="4B65D709" w:rsidR="00262AA1" w:rsidRPr="00DF7ED9" w:rsidRDefault="00262AA1" w:rsidP="00262AA1">
      <w:pPr>
        <w:spacing w:after="160"/>
        <w:ind w:right="58"/>
        <w:rPr>
          <w:rFonts w:ascii="Arial" w:eastAsia="Arial" w:hAnsi="Arial" w:cs="Arial"/>
          <w:color w:val="296DC1"/>
          <w:sz w:val="16"/>
          <w:szCs w:val="16"/>
        </w:rPr>
      </w:pPr>
      <w:r w:rsidRPr="00DF7ED9">
        <w:rPr>
          <w:rFonts w:ascii="Arial" w:eastAsia="Arial" w:hAnsi="Arial" w:cs="Arial"/>
          <w:color w:val="296DC1"/>
          <w:sz w:val="28"/>
          <w:szCs w:val="28"/>
        </w:rPr>
        <w:lastRenderedPageBreak/>
        <w:t>Annex A—The S&amp;P 500</w:t>
      </w:r>
      <w:r w:rsidRPr="00DF7ED9">
        <w:rPr>
          <w:rFonts w:ascii="Arial" w:eastAsia="Arial" w:hAnsi="Arial" w:cs="Arial"/>
          <w:color w:val="296DC1"/>
          <w:sz w:val="28"/>
          <w:szCs w:val="28"/>
          <w:vertAlign w:val="superscript"/>
        </w:rPr>
        <w:t>®</w:t>
      </w:r>
      <w:r w:rsidRPr="00DF7ED9">
        <w:rPr>
          <w:rFonts w:ascii="Arial" w:eastAsia="Arial" w:hAnsi="Arial" w:cs="Arial"/>
          <w:color w:val="296DC1"/>
          <w:sz w:val="28"/>
          <w:szCs w:val="28"/>
        </w:rPr>
        <w:t xml:space="preserve"> Index</w:t>
      </w:r>
    </w:p>
    <w:p w14:paraId="6BC662C0" w14:textId="77777777" w:rsidR="00262AA1" w:rsidRPr="00DF7ED9" w:rsidRDefault="00262AA1" w:rsidP="00262AA1">
      <w:pPr>
        <w:spacing w:after="160"/>
        <w:ind w:right="58"/>
        <w:rPr>
          <w:rFonts w:ascii="Arial" w:eastAsia="Arial" w:hAnsi="Arial" w:cs="Arial"/>
          <w:color w:val="000000"/>
          <w:sz w:val="16"/>
          <w:szCs w:val="16"/>
        </w:rPr>
      </w:pPr>
      <w:r w:rsidRPr="00DF7ED9">
        <w:rPr>
          <w:rFonts w:ascii="Arial" w:eastAsia="Arial" w:hAnsi="Arial" w:cs="Arial"/>
          <w:color w:val="000000"/>
          <w:sz w:val="16"/>
          <w:szCs w:val="16"/>
        </w:rPr>
        <w:t>The SPX includes a representative sample of 500 companies in leading industries of the U.S. economy. The SPX is intended to provide an indication of the pattern of common stock price movement. The calculation of the level of the SPX is based on the relative value of the aggregate market value of the common stocks of 500 companies as of a particular time compared to the aggregate average market value of the common stocks of 500 similar companies during the base period of the years 1941 through 1943.</w:t>
      </w:r>
    </w:p>
    <w:p w14:paraId="34C746DA" w14:textId="77777777" w:rsidR="00262AA1" w:rsidRPr="00DF7ED9" w:rsidRDefault="00262AA1" w:rsidP="00262AA1">
      <w:pPr>
        <w:spacing w:after="160"/>
        <w:ind w:right="58"/>
        <w:rPr>
          <w:rFonts w:ascii="Arial" w:eastAsia="Arial" w:hAnsi="Arial" w:cs="Arial"/>
          <w:color w:val="000000"/>
          <w:sz w:val="16"/>
          <w:szCs w:val="16"/>
        </w:rPr>
      </w:pPr>
      <w:r w:rsidRPr="00DF7ED9">
        <w:rPr>
          <w:rFonts w:ascii="Arial" w:eastAsia="Arial" w:hAnsi="Arial" w:cs="Arial"/>
          <w:color w:val="000000"/>
          <w:sz w:val="16"/>
          <w:szCs w:val="16"/>
        </w:rPr>
        <w:t>The SPX includes companies from eleven main groups: Communication Services; Consumer Discretionary; Consumer Staples; Energy; Financials; Health Care; Industrials; Information Technology; Real Estate; Materials; and Utilities. S&amp;P Dow Jones Indices LLC (“SPDJI”), the sponsor of the SPX, may from time to time, in its sole discretion, add companies to, or delete companies from, the SPX to achieve the objectives stated above.</w:t>
      </w:r>
    </w:p>
    <w:p w14:paraId="051D7615" w14:textId="08E876D9" w:rsidR="00262AA1" w:rsidRPr="00DF7ED9" w:rsidRDefault="00262AA1" w:rsidP="00262AA1">
      <w:pPr>
        <w:spacing w:after="160"/>
        <w:ind w:right="58"/>
        <w:rPr>
          <w:rFonts w:ascii="Arial" w:eastAsia="Arial" w:hAnsi="Arial" w:cs="Arial"/>
          <w:color w:val="000000"/>
          <w:sz w:val="16"/>
          <w:szCs w:val="16"/>
        </w:rPr>
      </w:pPr>
      <w:r w:rsidRPr="00DF7ED9">
        <w:rPr>
          <w:rFonts w:ascii="Arial" w:eastAsia="Arial" w:hAnsi="Arial" w:cs="Arial"/>
          <w:color w:val="000000"/>
          <w:sz w:val="16"/>
          <w:szCs w:val="16"/>
        </w:rPr>
        <w:t xml:space="preserve">SPDJI calculates the SPX by reference to the prices of the constituent stocks of the SPX without taking account of the value of dividends paid on those stocks. As a result, the return on the </w:t>
      </w:r>
      <w:r w:rsidR="0044592A" w:rsidRPr="00DF7ED9">
        <w:rPr>
          <w:rFonts w:ascii="Arial" w:eastAsia="Arial" w:hAnsi="Arial" w:cs="Arial"/>
          <w:color w:val="000000"/>
          <w:sz w:val="16"/>
          <w:szCs w:val="16"/>
        </w:rPr>
        <w:t>securities</w:t>
      </w:r>
      <w:r w:rsidRPr="00DF7ED9">
        <w:rPr>
          <w:rFonts w:ascii="Arial" w:eastAsia="Arial" w:hAnsi="Arial" w:cs="Arial"/>
          <w:color w:val="000000"/>
          <w:sz w:val="16"/>
          <w:szCs w:val="16"/>
        </w:rPr>
        <w:t xml:space="preserve"> will not reflect the return you would realize if you actually owned the SPX constituent stocks and received the dividends paid on those stocks. </w:t>
      </w:r>
    </w:p>
    <w:p w14:paraId="5647C770" w14:textId="77777777" w:rsidR="00262AA1" w:rsidRPr="00DF7ED9" w:rsidRDefault="00262AA1" w:rsidP="00262AA1">
      <w:pPr>
        <w:spacing w:after="160"/>
        <w:ind w:right="58"/>
        <w:rPr>
          <w:rFonts w:ascii="Arial" w:eastAsia="Arial" w:hAnsi="Arial" w:cs="Arial"/>
          <w:b/>
          <w:bCs/>
          <w:i/>
          <w:iCs/>
          <w:color w:val="296DC1"/>
          <w:sz w:val="16"/>
          <w:szCs w:val="16"/>
        </w:rPr>
      </w:pPr>
      <w:r w:rsidRPr="00DF7ED9">
        <w:rPr>
          <w:rFonts w:ascii="Arial" w:eastAsia="Arial" w:hAnsi="Arial" w:cs="Arial"/>
          <w:b/>
          <w:bCs/>
          <w:i/>
          <w:iCs/>
          <w:color w:val="296DC1"/>
          <w:sz w:val="16"/>
          <w:szCs w:val="16"/>
        </w:rPr>
        <w:t>Computation of the SPX</w:t>
      </w:r>
    </w:p>
    <w:p w14:paraId="1ABAFC4A" w14:textId="601D7A9F" w:rsidR="00262AA1" w:rsidRPr="00DF7ED9" w:rsidRDefault="00262AA1" w:rsidP="00262AA1">
      <w:pPr>
        <w:spacing w:after="160"/>
        <w:ind w:right="58"/>
        <w:rPr>
          <w:rFonts w:ascii="Arial" w:eastAsia="Arial" w:hAnsi="Arial" w:cs="Arial"/>
          <w:color w:val="000000"/>
          <w:sz w:val="16"/>
          <w:szCs w:val="16"/>
        </w:rPr>
      </w:pPr>
      <w:r w:rsidRPr="00DF7ED9">
        <w:rPr>
          <w:rFonts w:ascii="Arial" w:eastAsia="Arial" w:hAnsi="Arial" w:cs="Arial"/>
          <w:color w:val="000000"/>
          <w:sz w:val="16"/>
          <w:szCs w:val="16"/>
        </w:rPr>
        <w:t xml:space="preserve">While SPDJI currently employs the following methodology to calculate the SPX, no assurance can be given that SPDJI will not modify or change this methodology in a manner that may affect payments on the </w:t>
      </w:r>
      <w:r w:rsidR="0044592A" w:rsidRPr="00DF7ED9">
        <w:rPr>
          <w:rFonts w:ascii="Arial" w:eastAsia="Arial" w:hAnsi="Arial" w:cs="Arial"/>
          <w:color w:val="000000"/>
          <w:sz w:val="16"/>
          <w:szCs w:val="16"/>
        </w:rPr>
        <w:t>securities</w:t>
      </w:r>
      <w:r w:rsidRPr="00DF7ED9">
        <w:rPr>
          <w:rFonts w:ascii="Arial" w:eastAsia="Arial" w:hAnsi="Arial" w:cs="Arial"/>
          <w:color w:val="000000"/>
          <w:sz w:val="16"/>
          <w:szCs w:val="16"/>
        </w:rPr>
        <w:t>.</w:t>
      </w:r>
    </w:p>
    <w:p w14:paraId="126D6C3E" w14:textId="77777777" w:rsidR="00262AA1" w:rsidRPr="00DF7ED9" w:rsidRDefault="00262AA1" w:rsidP="00262AA1">
      <w:pPr>
        <w:spacing w:after="160"/>
        <w:ind w:right="58"/>
        <w:rPr>
          <w:rFonts w:ascii="Arial" w:eastAsia="Arial" w:hAnsi="Arial" w:cs="Arial"/>
          <w:color w:val="000000"/>
          <w:sz w:val="16"/>
          <w:szCs w:val="16"/>
        </w:rPr>
      </w:pPr>
      <w:r w:rsidRPr="00DF7ED9">
        <w:rPr>
          <w:rFonts w:ascii="Arial" w:eastAsia="Arial" w:hAnsi="Arial" w:cs="Arial"/>
          <w:color w:val="000000"/>
          <w:sz w:val="16"/>
          <w:szCs w:val="16"/>
        </w:rPr>
        <w:t>Historically, the market value of any component stock of the SPX was calculated as the product of the market price per share and the number of then outstanding shares of such component stock. In March 2005, SPDJI began shifting the SPX halfway from a market capitalization weighted formula to a float-adjusted formula, before moving the SPX to full float adjustment on September 16, 2005. SPDJI’s criteria for selecting stocks for the SPX did not change with the shift to float adjustment. However, the adjustment affects each company’s weight in the SPX.</w:t>
      </w:r>
    </w:p>
    <w:p w14:paraId="0ADE3356" w14:textId="77777777" w:rsidR="00262AA1" w:rsidRPr="00DF7ED9" w:rsidRDefault="00262AA1" w:rsidP="00262AA1">
      <w:pPr>
        <w:spacing w:after="160"/>
        <w:ind w:right="58"/>
        <w:rPr>
          <w:rFonts w:ascii="Arial" w:eastAsia="Arial" w:hAnsi="Arial" w:cs="Arial"/>
          <w:color w:val="000000"/>
          <w:sz w:val="16"/>
          <w:szCs w:val="16"/>
        </w:rPr>
      </w:pPr>
      <w:r w:rsidRPr="00DF7ED9">
        <w:rPr>
          <w:rFonts w:ascii="Arial" w:eastAsia="Arial" w:hAnsi="Arial" w:cs="Arial"/>
          <w:color w:val="000000"/>
          <w:sz w:val="16"/>
          <w:szCs w:val="16"/>
        </w:rPr>
        <w:t>Under float adjustment, the share counts used in calculating the SPX reflect only those shares that are available to investors, not all of a company’s outstanding shares. Float adjustment excludes shares that are closely held by control groups, other publicly traded companies or government agencies.</w:t>
      </w:r>
    </w:p>
    <w:p w14:paraId="09640F2F" w14:textId="77777777" w:rsidR="00262AA1" w:rsidRPr="00DF7ED9" w:rsidRDefault="00262AA1" w:rsidP="00262AA1">
      <w:pPr>
        <w:spacing w:after="160"/>
        <w:ind w:right="58"/>
        <w:rPr>
          <w:rFonts w:ascii="Arial" w:eastAsia="Arial" w:hAnsi="Arial" w:cs="Arial"/>
          <w:color w:val="000000"/>
          <w:sz w:val="16"/>
          <w:szCs w:val="16"/>
        </w:rPr>
      </w:pPr>
      <w:r w:rsidRPr="00DF7ED9">
        <w:rPr>
          <w:rFonts w:ascii="Arial" w:eastAsia="Arial" w:hAnsi="Arial" w:cs="Arial"/>
          <w:color w:val="000000"/>
          <w:sz w:val="16"/>
          <w:szCs w:val="16"/>
        </w:rPr>
        <w:t>In September 2012, all shareholdings representing more than 5% of a stock’s outstanding shares, other than holdings by “block owners,” were removed from the float for purposes of calculating the SPX. Generally, these “control holders” will include officers and directors, private equity, venture capital and special equity firms, other publicly traded companies that hold shares for control, strategic partners, holders of restricted shares, ESOPs, employee and family trusts, foundations associated with the company, holders of unlisted share classes of stock, government entities at all levels (other than government retirement/pension funds) and any individual person who controls a 5% or greater stake in a company as reported in regulatory filings. However, holdings by block owners, such as depositary banks, pension funds, mutual funds and ETF providers, 401(k) plans of the company, government retirement/pension funds, investment funds of insurance companies, asset managers and investment funds, independent foundations and savings and investment plans, will ordinarily be considered part of the float.</w:t>
      </w:r>
    </w:p>
    <w:p w14:paraId="5EA7469A" w14:textId="77777777" w:rsidR="00262AA1" w:rsidRPr="00DF7ED9" w:rsidRDefault="00262AA1" w:rsidP="00262AA1">
      <w:pPr>
        <w:spacing w:after="160"/>
        <w:ind w:right="58"/>
        <w:rPr>
          <w:rFonts w:ascii="Arial" w:eastAsia="Arial" w:hAnsi="Arial" w:cs="Arial"/>
          <w:color w:val="000000"/>
          <w:sz w:val="16"/>
          <w:szCs w:val="16"/>
        </w:rPr>
      </w:pPr>
      <w:r w:rsidRPr="00DF7ED9">
        <w:rPr>
          <w:rFonts w:ascii="Arial" w:eastAsia="Arial" w:hAnsi="Arial" w:cs="Arial"/>
          <w:color w:val="000000"/>
          <w:sz w:val="16"/>
          <w:szCs w:val="16"/>
        </w:rPr>
        <w:t>Treasury stock, stock options, restricted shares, equity participation units, warrants, preferred stock, convertible stock, and rights are not part of the float. Shares held in a trust to allow investors in countries outside the country of domicile, such as depositary shares and Canadian exchangeable shares, are normally part of the float unless those shares form a control block. If a company has multiple classes of stock outstanding, shares in an unlisted or non-traded class are treated as a control block.</w:t>
      </w:r>
    </w:p>
    <w:p w14:paraId="524C7B8E" w14:textId="77777777" w:rsidR="00262AA1" w:rsidRPr="00DF7ED9" w:rsidRDefault="00262AA1" w:rsidP="00262AA1">
      <w:pPr>
        <w:spacing w:after="160"/>
        <w:ind w:right="58"/>
        <w:rPr>
          <w:rFonts w:ascii="Arial" w:eastAsia="Arial" w:hAnsi="Arial" w:cs="Arial"/>
          <w:color w:val="000000"/>
          <w:sz w:val="16"/>
          <w:szCs w:val="16"/>
        </w:rPr>
      </w:pPr>
      <w:r w:rsidRPr="00DF7ED9">
        <w:rPr>
          <w:rFonts w:ascii="Arial" w:eastAsia="Arial" w:hAnsi="Arial" w:cs="Arial"/>
          <w:color w:val="000000"/>
          <w:sz w:val="16"/>
          <w:szCs w:val="16"/>
        </w:rPr>
        <w:t>For each stock, an investable weight factor (“IWF”) is calculated by dividing the available float shares by the total shares outstanding. Available float shares are defined as the total shares outstanding less shares held by control holders. This calculation is subject to a 5% minimum threshold for control blocks. For example, if a company’s officers and directors hold 3% of the company’s shares, and no other control group holds 5% of the company’s shares, SPDJI would assign that company an IWF of 1.00, as no control group meets the 5% threshold. However, if a company’s officers and directors hold 3% of the company’s shares and another control group holds 20% of the company’s shares, SPDJI would assign an IWF of 0.77, reflecting the fact that 23% of the company’s outstanding shares are considered to be held for control. As of July 31, 2017, companies with multiple share class lines are no longer eligible for inclusion in the SPX. Constituents of the SPX prior to July 31, 2017 with multiple share class lines will be grandfathered in and continue to be included in the SPX. If a constituent company of the SPX reorganizes into a multiple share class line structure, that company will remain in the SPX at the discretion of the S&amp;P Index Committee in order to minimize turnover.</w:t>
      </w:r>
    </w:p>
    <w:p w14:paraId="5B2CC8DB" w14:textId="77777777" w:rsidR="00262AA1" w:rsidRPr="00DF7ED9" w:rsidRDefault="00262AA1" w:rsidP="00262AA1">
      <w:pPr>
        <w:spacing w:after="160"/>
        <w:ind w:right="58"/>
        <w:rPr>
          <w:rFonts w:ascii="Arial" w:eastAsia="Arial" w:hAnsi="Arial" w:cs="Arial"/>
          <w:color w:val="000000"/>
          <w:sz w:val="16"/>
          <w:szCs w:val="16"/>
        </w:rPr>
      </w:pPr>
      <w:r w:rsidRPr="00DF7ED9">
        <w:rPr>
          <w:rFonts w:ascii="Arial" w:eastAsia="Arial" w:hAnsi="Arial" w:cs="Arial"/>
          <w:color w:val="000000"/>
          <w:sz w:val="16"/>
          <w:szCs w:val="16"/>
        </w:rPr>
        <w:t>The SPX is calculated using a base-weighted aggregate methodology. The level of the SPX reflects the total market value of all component stocks relative to the base period of the years 1941 through 1943. An indexed number is used to represent the results of this calculation in order to make the level easier to work with and track over time. The actual total market value of the component stocks during the base period of the years 1941 through 1943 has been set to an indexed level of 10. This is often indicated by the notation 1941- 43 = 10. In practice, the daily calculation of the SPX is computed by dividing the total market value of the component stocks by the “index divisor.” By itself, the index divisor is an arbitrary number. However, in the context of the calculation of the SPX, it serves as a link to the original base period level of the SPX. The index divisor keeps the SPX comparable over time and is the manipulation point for all adjustments to the SPX, which is index maintenance.</w:t>
      </w:r>
    </w:p>
    <w:p w14:paraId="60226454" w14:textId="77777777" w:rsidR="00262AA1" w:rsidRPr="00DF7ED9" w:rsidRDefault="00262AA1" w:rsidP="00262AA1">
      <w:pPr>
        <w:spacing w:after="160"/>
        <w:ind w:right="58"/>
        <w:rPr>
          <w:rFonts w:ascii="Arial" w:eastAsia="Arial" w:hAnsi="Arial" w:cs="Arial"/>
          <w:b/>
          <w:bCs/>
          <w:i/>
          <w:iCs/>
          <w:color w:val="296DC1"/>
          <w:sz w:val="16"/>
          <w:szCs w:val="16"/>
        </w:rPr>
      </w:pPr>
      <w:r w:rsidRPr="00DF7ED9">
        <w:rPr>
          <w:rFonts w:ascii="Arial" w:eastAsia="Arial" w:hAnsi="Arial" w:cs="Arial"/>
          <w:b/>
          <w:bCs/>
          <w:i/>
          <w:iCs/>
          <w:color w:val="296DC1"/>
          <w:sz w:val="16"/>
          <w:szCs w:val="16"/>
        </w:rPr>
        <w:t>Index Maintenance</w:t>
      </w:r>
    </w:p>
    <w:p w14:paraId="226FE480" w14:textId="77777777" w:rsidR="00262AA1" w:rsidRPr="00DF7ED9" w:rsidRDefault="00262AA1" w:rsidP="00262AA1">
      <w:pPr>
        <w:spacing w:after="160"/>
        <w:ind w:right="58"/>
        <w:rPr>
          <w:rFonts w:ascii="Arial" w:eastAsia="Arial" w:hAnsi="Arial" w:cs="Arial"/>
          <w:color w:val="000000"/>
          <w:sz w:val="16"/>
          <w:szCs w:val="16"/>
        </w:rPr>
      </w:pPr>
      <w:r w:rsidRPr="00DF7ED9">
        <w:rPr>
          <w:rFonts w:ascii="Arial" w:eastAsia="Arial" w:hAnsi="Arial" w:cs="Arial"/>
          <w:color w:val="000000"/>
          <w:sz w:val="16"/>
          <w:szCs w:val="16"/>
        </w:rPr>
        <w:t>Index maintenance includes monitoring and completing the adjustments for company additions and deletions, share changes, stock splits, stock dividends, and stock price adjustments due to company restructuring or spinoffs. Some corporate actions, such as stock splits and stock dividends, require changes in the common shares outstanding and the stock prices of the companies in the SPX, and do not require index divisor adjustments.</w:t>
      </w:r>
    </w:p>
    <w:p w14:paraId="399DD140" w14:textId="77777777" w:rsidR="00262AA1" w:rsidRPr="00DF7ED9" w:rsidRDefault="00262AA1" w:rsidP="00262AA1">
      <w:pPr>
        <w:spacing w:after="160"/>
        <w:ind w:right="58"/>
        <w:rPr>
          <w:rFonts w:ascii="Arial" w:eastAsia="Arial" w:hAnsi="Arial" w:cs="Arial"/>
          <w:color w:val="000000"/>
          <w:sz w:val="16"/>
          <w:szCs w:val="16"/>
        </w:rPr>
      </w:pPr>
      <w:r w:rsidRPr="00DF7ED9">
        <w:rPr>
          <w:rFonts w:ascii="Arial" w:eastAsia="Arial" w:hAnsi="Arial" w:cs="Arial"/>
          <w:color w:val="000000"/>
          <w:sz w:val="16"/>
          <w:szCs w:val="16"/>
        </w:rPr>
        <w:t>To prevent the level of the SPX from changing due to corporate actions, corporate actions which affect the total market value of the SPX require an index divisor adjustment. By adjusting the index divisor for the change in market value, the level of the SPX remains constant and does not reflect the corporate actions of individual companies in the SPX. Index divisor adjustments are made after the close of trading and after the calculation of the SPX closing value.</w:t>
      </w:r>
    </w:p>
    <w:p w14:paraId="76715A6A" w14:textId="77777777" w:rsidR="00262AA1" w:rsidRPr="00DF7ED9" w:rsidRDefault="00262AA1" w:rsidP="00262AA1">
      <w:pPr>
        <w:spacing w:after="160"/>
        <w:ind w:right="58"/>
        <w:rPr>
          <w:rFonts w:ascii="Arial" w:eastAsia="Arial" w:hAnsi="Arial" w:cs="Arial"/>
          <w:color w:val="000000"/>
          <w:sz w:val="16"/>
          <w:szCs w:val="16"/>
        </w:rPr>
      </w:pPr>
      <w:r w:rsidRPr="00DF7ED9">
        <w:rPr>
          <w:rFonts w:ascii="Arial" w:eastAsia="Arial" w:hAnsi="Arial" w:cs="Arial"/>
          <w:color w:val="000000"/>
          <w:sz w:val="16"/>
          <w:szCs w:val="16"/>
        </w:rPr>
        <w:lastRenderedPageBreak/>
        <w:t>Changes in a company’s shares outstanding of 5.00% or more due to mergers, acquisitions, public offerings, tender offers, Dutch auctions, or exchange offers are made as soon as reasonably possible. Share changes due to mergers or acquisitions of publicly held companies that trade on a major exchange are implemented when the transaction occurs, even if both of the companies are not in the same headline index, and regardless of the size of the change. All other changes of 5.00% or more (due to, for example, company stock repurchases, private placements, redemptions, exercise of options, warrants, conversion of preferred stock, notes, debt, equity participation units, at-the-market offerings, or other recapitalizations) are made weekly and are announced on Fridays for implementation after the close of trading on the following Friday. Changes of less than 5.00% are accumulated and made quarterly on the third Friday of March, June, September, and December, and are usually announced two to five days prior.</w:t>
      </w:r>
    </w:p>
    <w:p w14:paraId="75A6905D" w14:textId="77777777" w:rsidR="00262AA1" w:rsidRPr="00DF7ED9" w:rsidRDefault="00262AA1" w:rsidP="00262AA1">
      <w:pPr>
        <w:spacing w:after="160"/>
        <w:ind w:right="58"/>
        <w:rPr>
          <w:rFonts w:ascii="Arial" w:eastAsia="Arial" w:hAnsi="Arial" w:cs="Arial"/>
          <w:color w:val="000000"/>
          <w:sz w:val="16"/>
          <w:szCs w:val="16"/>
        </w:rPr>
      </w:pPr>
      <w:r w:rsidRPr="00DF7ED9">
        <w:rPr>
          <w:rFonts w:ascii="Arial" w:eastAsia="Arial" w:hAnsi="Arial" w:cs="Arial"/>
          <w:color w:val="000000"/>
          <w:sz w:val="16"/>
          <w:szCs w:val="16"/>
        </w:rPr>
        <w:t>If a change in a company’s shares outstanding of 5.00% or more causes a company’s IWF to change by five percentage points or more, the IWF is updated at the same time as the share change. IWF changes resulting from partial tender offers are considered on a case by case basis.</w:t>
      </w:r>
    </w:p>
    <w:p w14:paraId="3742900F" w14:textId="77777777" w:rsidR="00262AA1" w:rsidRPr="00DF7ED9" w:rsidRDefault="00262AA1" w:rsidP="00262AA1">
      <w:pPr>
        <w:spacing w:after="160"/>
        <w:ind w:right="58"/>
        <w:rPr>
          <w:rFonts w:ascii="Arial" w:eastAsia="Arial" w:hAnsi="Arial" w:cs="Arial"/>
          <w:b/>
          <w:bCs/>
          <w:i/>
          <w:iCs/>
          <w:color w:val="296DC1"/>
          <w:sz w:val="16"/>
          <w:szCs w:val="16"/>
        </w:rPr>
      </w:pPr>
      <w:r w:rsidRPr="00DF7ED9">
        <w:rPr>
          <w:rFonts w:ascii="Arial" w:eastAsia="Arial" w:hAnsi="Arial" w:cs="Arial"/>
          <w:b/>
          <w:bCs/>
          <w:i/>
          <w:iCs/>
          <w:color w:val="296DC1"/>
          <w:sz w:val="16"/>
          <w:szCs w:val="16"/>
        </w:rPr>
        <w:t>License Agreement</w:t>
      </w:r>
    </w:p>
    <w:p w14:paraId="0F9D7129" w14:textId="77777777" w:rsidR="00262AA1" w:rsidRPr="00DF7ED9" w:rsidRDefault="00262AA1" w:rsidP="00262AA1">
      <w:pPr>
        <w:spacing w:after="160"/>
        <w:ind w:right="58"/>
        <w:rPr>
          <w:rFonts w:ascii="Arial" w:hAnsi="Arial" w:cs="Arial"/>
          <w:sz w:val="16"/>
          <w:szCs w:val="16"/>
        </w:rPr>
      </w:pPr>
      <w:r w:rsidRPr="00DF7ED9">
        <w:rPr>
          <w:rFonts w:ascii="Arial" w:hAnsi="Arial" w:cs="Arial"/>
          <w:sz w:val="16"/>
          <w:szCs w:val="16"/>
        </w:rPr>
        <w:t>S&amp;P</w:t>
      </w:r>
      <w:r w:rsidRPr="00DF7ED9">
        <w:rPr>
          <w:rFonts w:ascii="Arial" w:hAnsi="Arial" w:cs="Arial"/>
          <w:sz w:val="16"/>
          <w:szCs w:val="16"/>
          <w:vertAlign w:val="superscript"/>
        </w:rPr>
        <w:t xml:space="preserve">® </w:t>
      </w:r>
      <w:r w:rsidRPr="00DF7ED9">
        <w:rPr>
          <w:rFonts w:ascii="Arial" w:hAnsi="Arial" w:cs="Arial"/>
          <w:sz w:val="16"/>
          <w:szCs w:val="16"/>
        </w:rPr>
        <w:t>is a registered trademark of Standard &amp; Poor’s Financial Services LLC (“S&amp;P”) and Dow Jones</w:t>
      </w:r>
      <w:r w:rsidRPr="00DF7ED9">
        <w:rPr>
          <w:rFonts w:ascii="Arial" w:hAnsi="Arial" w:cs="Arial"/>
          <w:sz w:val="16"/>
          <w:szCs w:val="16"/>
          <w:vertAlign w:val="superscript"/>
        </w:rPr>
        <w:t>®</w:t>
      </w:r>
      <w:r w:rsidRPr="00DF7ED9">
        <w:rPr>
          <w:rFonts w:ascii="Arial" w:hAnsi="Arial" w:cs="Arial"/>
          <w:sz w:val="16"/>
          <w:szCs w:val="16"/>
        </w:rPr>
        <w:t xml:space="preserve"> is a registered trademark of Dow Jones Trademark Holdings LLC (“Dow Jones”). These trademarks have been licensed for use by S&amp;P Dow Jones Indices LLC. “Standard &amp; Poor’s</w:t>
      </w:r>
      <w:r w:rsidRPr="00DF7ED9">
        <w:rPr>
          <w:rFonts w:ascii="Arial" w:hAnsi="Arial" w:cs="Arial"/>
          <w:sz w:val="16"/>
          <w:szCs w:val="16"/>
          <w:vertAlign w:val="superscript"/>
        </w:rPr>
        <w:t>®</w:t>
      </w:r>
      <w:r w:rsidRPr="00DF7ED9">
        <w:rPr>
          <w:rFonts w:ascii="Arial" w:hAnsi="Arial" w:cs="Arial"/>
          <w:sz w:val="16"/>
          <w:szCs w:val="16"/>
        </w:rPr>
        <w:t>,” “S&amp;P 500</w:t>
      </w:r>
      <w:r w:rsidRPr="00DF7ED9">
        <w:rPr>
          <w:rFonts w:ascii="Arial" w:hAnsi="Arial" w:cs="Arial"/>
          <w:sz w:val="16"/>
          <w:szCs w:val="16"/>
          <w:vertAlign w:val="superscript"/>
        </w:rPr>
        <w:t>®</w:t>
      </w:r>
      <w:r w:rsidRPr="00DF7ED9">
        <w:rPr>
          <w:rFonts w:ascii="Arial" w:hAnsi="Arial" w:cs="Arial"/>
          <w:sz w:val="16"/>
          <w:szCs w:val="16"/>
        </w:rPr>
        <w:t>” and “S&amp;P</w:t>
      </w:r>
      <w:r w:rsidRPr="00DF7ED9">
        <w:rPr>
          <w:rFonts w:ascii="Arial" w:hAnsi="Arial" w:cs="Arial"/>
          <w:sz w:val="16"/>
          <w:szCs w:val="16"/>
          <w:vertAlign w:val="superscript"/>
        </w:rPr>
        <w:t>®</w:t>
      </w:r>
      <w:r w:rsidRPr="00DF7ED9">
        <w:rPr>
          <w:rFonts w:ascii="Arial" w:hAnsi="Arial" w:cs="Arial"/>
          <w:sz w:val="16"/>
          <w:szCs w:val="16"/>
        </w:rPr>
        <w:t>” are trademarks of S&amp;P. These trademarks have been sublicensed for certain purposes by our affiliate, Merrill Lynch, Pierce, Fenner &amp; Smith Incorporated. The SPX is a product of S&amp;P Dow Jones Indices LLC and/or its affiliates and has been licensed for use by Merrill Lynch, Pierce, Fenner &amp; Smith Incorporated.</w:t>
      </w:r>
    </w:p>
    <w:p w14:paraId="260ADFFA" w14:textId="3354F8E6" w:rsidR="00262AA1" w:rsidRPr="00DF7ED9" w:rsidRDefault="00262AA1" w:rsidP="00344C6A">
      <w:pPr>
        <w:spacing w:after="160"/>
        <w:ind w:right="58"/>
        <w:rPr>
          <w:rFonts w:ascii="Arial" w:hAnsi="Arial" w:cs="Arial"/>
          <w:sz w:val="16"/>
          <w:szCs w:val="16"/>
        </w:rPr>
      </w:pPr>
      <w:r w:rsidRPr="00DF7ED9">
        <w:rPr>
          <w:rFonts w:ascii="Arial" w:hAnsi="Arial" w:cs="Arial"/>
          <w:sz w:val="16"/>
          <w:szCs w:val="16"/>
        </w:rPr>
        <w:t xml:space="preserve">The securities are not sponsored, endorsed, sold or promoted by S&amp;P Dow Jones Indices LLC, Dow Jones, S&amp;P or any of their respective affiliates (collectively, “S&amp;P Dow Jones Indices”). S&amp;P Dow Jones Indices make no representation or warranty, express or implied, to the holders of the securities or any member of the public regarding the advisability of investing in securities generally or in the securities particularly or the ability of the SPX to track general market performance. S&amp;P Dow Jones Indices’ only relationship to Merrill Lynch, Pierce, Fenner &amp; Smith Incorporated with respect to the SPX is the licensing of the SPX and certain trademarks, service marks and/or trade names of S&amp;P Dow Jones Indices and/or its third party licensors. The SPX is determined, composed and calculated by S&amp;P Dow Jones Indices without regard to us, Merrill Lynch, Pierce, Fenner &amp; Smith Incorporated, or the </w:t>
      </w:r>
      <w:r w:rsidR="00344C6A" w:rsidRPr="00DF7ED9">
        <w:rPr>
          <w:rFonts w:ascii="Arial" w:hAnsi="Arial" w:cs="Arial"/>
          <w:sz w:val="16"/>
          <w:szCs w:val="16"/>
        </w:rPr>
        <w:t>securities</w:t>
      </w:r>
      <w:r w:rsidRPr="00DF7ED9">
        <w:rPr>
          <w:rFonts w:ascii="Arial" w:hAnsi="Arial" w:cs="Arial"/>
          <w:sz w:val="16"/>
          <w:szCs w:val="16"/>
        </w:rPr>
        <w:t xml:space="preserve">. S&amp;P Dow Jones Indices have no obligation to take our needs, BAC’s needs or the needs of Merrill Lynch, Pierce, Fenner &amp; Smith Incorporated or holders of the securities into consideration in determining, composing or calculating the SPX. S&amp;P Dow Jones Indices are not responsible for and have not participated in the determination of the prices and amount of the securities or the timing of the issuance or sale of the securities or in the determination or calculation of the equation by which the securities are to be converted into cash. S&amp;P Dow Jones Indices have no obligation or liability in connection with the administration, marketing or trading of the securities. There is no assurance that investment products based on the SPX will accurately track index performance or provide positive investment returns. S&amp;P Dow Jones Indices LLC and its subsidiaries are not investment advisors. Inclusion of a security or futures contract within an index is not a recommendation by S&amp;P Dow Jones Indices to buy, sell, or hold such security or futures contract, nor is it considered to be investment advice. Notwithstanding the foregoing, </w:t>
      </w:r>
      <w:r w:rsidR="00D07C81" w:rsidRPr="00D07C81">
        <w:rPr>
          <w:rFonts w:ascii="Arial" w:hAnsi="Arial" w:cs="Arial"/>
          <w:sz w:val="16"/>
          <w:szCs w:val="16"/>
        </w:rPr>
        <w:t>S&amp;P Dow Jones Indices LLC</w:t>
      </w:r>
      <w:r w:rsidRPr="00DF7ED9">
        <w:rPr>
          <w:rFonts w:ascii="Arial" w:hAnsi="Arial" w:cs="Arial"/>
          <w:sz w:val="16"/>
          <w:szCs w:val="16"/>
        </w:rPr>
        <w:t xml:space="preserve"> and its affiliates may independently issue and/or sponsor financial products unrelated to the securities currently being issued by us, but which may be similar to and competitive with the securities. In addition, </w:t>
      </w:r>
      <w:r w:rsidR="00D07C81" w:rsidRPr="00D07C81">
        <w:rPr>
          <w:rFonts w:ascii="Arial" w:hAnsi="Arial" w:cs="Arial"/>
          <w:sz w:val="16"/>
          <w:szCs w:val="16"/>
        </w:rPr>
        <w:t>S&amp;P Dow Jones Indices LLC</w:t>
      </w:r>
      <w:r w:rsidRPr="00DF7ED9">
        <w:rPr>
          <w:rFonts w:ascii="Arial" w:hAnsi="Arial" w:cs="Arial"/>
          <w:sz w:val="16"/>
          <w:szCs w:val="16"/>
        </w:rPr>
        <w:t xml:space="preserve"> and its affiliates may trade financial products which are linked to the performance of the SPX. It is possible that this trading activity will affect the value of the securities.</w:t>
      </w:r>
    </w:p>
    <w:p w14:paraId="28876286" w14:textId="77777777" w:rsidR="00344C6A" w:rsidRDefault="00262AA1" w:rsidP="00262AA1">
      <w:pPr>
        <w:spacing w:after="400"/>
        <w:ind w:right="792"/>
        <w:rPr>
          <w:rFonts w:ascii="Arial" w:hAnsi="Arial" w:cs="Arial"/>
          <w:sz w:val="16"/>
          <w:szCs w:val="16"/>
        </w:rPr>
      </w:pPr>
      <w:r w:rsidRPr="00DF7ED9">
        <w:rPr>
          <w:rFonts w:ascii="Arial" w:hAnsi="Arial" w:cs="Arial"/>
          <w:sz w:val="16"/>
          <w:szCs w:val="16"/>
        </w:rPr>
        <w:t>S&amp;P DOW JONES INDICES DO NOT GUARANTEE THE ADEQUACY, ACCURACY, TIMELINESS AND/OR THE COMPLETENESS OF THE SPX OR ANY DATA RELATED THERETO OR ANY COMMUNICATION, INCLUDING BUT NOT LIMITED TO, ORAL OR WRITTEN COMMUNICATION (INCLUDING ELECTRONIC COMMUNICATIONS) WITH RESPECT THERETO. S&amp;P DOW JONES INDICES SHALL NOT BE SUBJECT TO ANY DAMAGES OR LIABILITY FOR ANY ERRORS, OMISSIONS, OR DELAYS THEREIN. S&amp;P DOW JONES INDICES MAKE NO EXPRESS OR IMPLIED WARRANTIES, AND EXPRESSLY DISCLAIM ALL WARRANTIES, OF MERCHANTABILITY OR FITNESS FOR A PARTICULAR PURPOSE OR USE OR AS TO RESULTS TO BE OBTAINED BY US, BAC, BOFAS, MERRILL LYNCH, PIERCE, FENNER &amp; SMITH INCORPORATED, HOLDERS OF THE SECURITIES, OR ANY OTHER PERSON OR ENTITY FROM THE USE OF THE SPX OR WITH RESPECT TO ANY DATA RELATED THERETO. WITHOUT LIMITING ANY OF THE FOREGOING, IN NO EVENT WHATSOEVER SHALL S&amp;P DOW JONES INDICES BE LIABLE FOR ANY INDIRECT, SPECIAL, INCIDENTAL, PUNITIVE, OR CONSEQUENTIAL DAMAGES INCLUDING BUT NOT LIMITED TO, LOSS OF PROFITS, TRADING LOSSES, LOST TIME OR GOODWILL, EVEN IF THEY HAVE BEEN ADVISED OF THE POSSIBILITY OF SUCH DAMAGES, WHETHER IN CONTRACT, TORT, STRICT LIABILITY, OR OTHERWISE. THERE ARE NO THIRD PARTY BENEFICIARIES OF ANY AGREEMENTS OR ARRANGEMENTS BETWEEN S&amp;P DOW JONES INDICES AND MERRILL LYNCH, PIERCE, FENNER &amp; SMITH INCORPORATED, OTHER THAN THE LICENSORS OF S&amp;P DOW JONES INDICES.</w:t>
      </w:r>
    </w:p>
    <w:sectPr w:rsidR="00344C6A" w:rsidSect="00371BFB">
      <w:pgSz w:w="12240" w:h="15840"/>
      <w:pgMar w:top="288" w:right="288" w:bottom="288" w:left="28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4C788" w14:textId="77777777" w:rsidR="00385138" w:rsidRDefault="00385138">
      <w:r>
        <w:separator/>
      </w:r>
    </w:p>
  </w:endnote>
  <w:endnote w:type="continuationSeparator" w:id="0">
    <w:p w14:paraId="2D118F40" w14:textId="77777777" w:rsidR="00385138" w:rsidRDefault="003851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ZapfDingbats">
    <w:altName w:val="Arial"/>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20E5E31E-00A8-4052-9658-F9401798DC9A}"/>
    <w:embedBold r:id="rId2" w:fontKey="{D2E4E5C4-F90F-479C-AA0B-B0D759A117AC}"/>
    <w:embedItalic r:id="rId3" w:fontKey="{B2BADCE2-A54E-4E3E-953F-204CBDA21E73}"/>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subsetted="1" w:fontKey="{F0911625-809D-4EC4-974D-73FFC32B7E5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13656" w14:textId="77777777" w:rsidR="00344C6A" w:rsidRDefault="00344C6A" w:rsidP="00344C6A">
    <w:pPr>
      <w:tabs>
        <w:tab w:val="right" w:pos="11660"/>
      </w:tabs>
      <w:rPr>
        <w:sz w:val="14"/>
      </w:rPr>
    </w:pPr>
    <w:r w:rsidRPr="00200394">
      <w:rPr>
        <w:sz w:val="14"/>
      </w:rPr>
      <w:tab/>
    </w:r>
  </w:p>
  <w:p w14:paraId="6915F83B" w14:textId="0575E5C8" w:rsidR="00344C6A" w:rsidRPr="00344C6A" w:rsidRDefault="00344C6A" w:rsidP="00344C6A">
    <w:pPr>
      <w:tabs>
        <w:tab w:val="right" w:pos="11660"/>
      </w:tabs>
      <w:rPr>
        <w:sz w:val="15"/>
      </w:rPr>
    </w:pPr>
    <w:r w:rsidRPr="00344C6A">
      <w:rPr>
        <w:rFonts w:eastAsia="Arial"/>
        <w:sz w:val="14"/>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B1F55" w14:textId="06F8299F" w:rsidR="00344C6A" w:rsidRDefault="00344C6A" w:rsidP="00344C6A">
    <w:pPr>
      <w:pStyle w:val="Footer"/>
    </w:pPr>
  </w:p>
  <w:p w14:paraId="79616963" w14:textId="5C131D40" w:rsidR="00344C6A" w:rsidRPr="00344C6A" w:rsidRDefault="006011A6" w:rsidP="00344C6A">
    <w:pPr>
      <w:tabs>
        <w:tab w:val="right" w:pos="11660"/>
      </w:tabs>
      <w:rPr>
        <w:sz w:val="15"/>
      </w:rPr>
    </w:pPr>
    <w:r>
      <w:rPr>
        <w:rFonts w:eastAsia="Arial"/>
        <w:sz w:val="14"/>
      </w:rPr>
      <w:t>#96506187v5</w:t>
    </w:r>
    <w:r w:rsidR="00344C6A" w:rsidRPr="00344C6A">
      <w:rPr>
        <w:rFonts w:eastAsia="Arial"/>
        <w:sz w:val="14"/>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AC581" w14:textId="3793F7F9" w:rsidR="0039446D" w:rsidRDefault="00FB088C" w:rsidP="00344C6A">
    <w:pPr>
      <w:pStyle w:val="Footer"/>
      <w:rPr>
        <w:rFonts w:ascii="Arial" w:eastAsia="Arial" w:hAnsi="Arial" w:cs="Arial"/>
        <w:noProof/>
        <w:color w:val="296DC1"/>
        <w:sz w:val="16"/>
        <w:szCs w:val="16"/>
      </w:rPr>
    </w:pPr>
    <w:r>
      <w:rPr>
        <w:rFonts w:ascii="Arial" w:eastAsia="Arial" w:hAnsi="Arial" w:cs="Arial"/>
        <w:color w:val="296DC1"/>
        <w:sz w:val="16"/>
        <w:szCs w:val="16"/>
      </w:rPr>
      <w:t xml:space="preserve">February </w:t>
    </w:r>
    <w:r w:rsidR="007B71C2">
      <w:rPr>
        <w:rFonts w:ascii="Arial" w:eastAsia="Arial" w:hAnsi="Arial" w:cs="Arial"/>
        <w:color w:val="296DC1"/>
        <w:sz w:val="16"/>
        <w:szCs w:val="16"/>
      </w:rPr>
      <w:t>202</w:t>
    </w:r>
    <w:r w:rsidR="003E1906">
      <w:rPr>
        <w:rFonts w:ascii="Arial" w:eastAsia="Arial" w:hAnsi="Arial" w:cs="Arial"/>
        <w:color w:val="296DC1"/>
        <w:sz w:val="16"/>
        <w:szCs w:val="16"/>
      </w:rPr>
      <w:t>6</w:t>
    </w:r>
    <w:r w:rsidR="0039446D">
      <w:rPr>
        <w:rFonts w:ascii="Arial" w:eastAsia="Arial" w:hAnsi="Arial" w:cs="Arial"/>
        <w:color w:val="296DC1"/>
        <w:sz w:val="16"/>
        <w:szCs w:val="16"/>
      </w:rPr>
      <w:tab/>
    </w:r>
    <w:r w:rsidR="0039446D">
      <w:rPr>
        <w:color w:val="296DC1"/>
        <w:sz w:val="20"/>
        <w:szCs w:val="20"/>
      </w:rPr>
      <w:tab/>
    </w:r>
    <w:r w:rsidR="0039446D">
      <w:rPr>
        <w:rFonts w:ascii="Arial" w:eastAsia="Arial" w:hAnsi="Arial" w:cs="Arial"/>
        <w:color w:val="296DC1"/>
        <w:sz w:val="16"/>
        <w:szCs w:val="16"/>
      </w:rPr>
      <w:t xml:space="preserve">Page </w:t>
    </w:r>
    <w:r w:rsidR="0039446D" w:rsidRPr="00C80983">
      <w:rPr>
        <w:rFonts w:ascii="Arial" w:eastAsia="Arial" w:hAnsi="Arial" w:cs="Arial"/>
        <w:color w:val="296DC1"/>
        <w:sz w:val="16"/>
        <w:szCs w:val="16"/>
      </w:rPr>
      <w:fldChar w:fldCharType="begin"/>
    </w:r>
    <w:r w:rsidR="0039446D" w:rsidRPr="00C80983">
      <w:rPr>
        <w:rFonts w:ascii="Arial" w:eastAsia="Arial" w:hAnsi="Arial" w:cs="Arial"/>
        <w:color w:val="296DC1"/>
        <w:sz w:val="16"/>
        <w:szCs w:val="16"/>
      </w:rPr>
      <w:instrText xml:space="preserve"> PAGE   \* MERGEFORMAT </w:instrText>
    </w:r>
    <w:r w:rsidR="0039446D" w:rsidRPr="00C80983">
      <w:rPr>
        <w:rFonts w:ascii="Arial" w:eastAsia="Arial" w:hAnsi="Arial" w:cs="Arial"/>
        <w:color w:val="296DC1"/>
        <w:sz w:val="16"/>
        <w:szCs w:val="16"/>
      </w:rPr>
      <w:fldChar w:fldCharType="separate"/>
    </w:r>
    <w:r w:rsidR="0039446D">
      <w:rPr>
        <w:rFonts w:ascii="Arial" w:eastAsia="Arial" w:hAnsi="Arial" w:cs="Arial"/>
        <w:noProof/>
        <w:color w:val="296DC1"/>
        <w:sz w:val="16"/>
        <w:szCs w:val="16"/>
      </w:rPr>
      <w:t>3</w:t>
    </w:r>
    <w:r w:rsidR="0039446D" w:rsidRPr="00C80983">
      <w:rPr>
        <w:rFonts w:ascii="Arial" w:eastAsia="Arial" w:hAnsi="Arial" w:cs="Arial"/>
        <w:noProof/>
        <w:color w:val="296DC1"/>
        <w:sz w:val="16"/>
        <w:szCs w:val="16"/>
      </w:rPr>
      <w:fldChar w:fldCharType="end"/>
    </w:r>
  </w:p>
  <w:p w14:paraId="4587D37C" w14:textId="77777777" w:rsidR="0039446D" w:rsidRDefault="0039446D" w:rsidP="00344C6A">
    <w:pPr>
      <w:tabs>
        <w:tab w:val="right" w:pos="11660"/>
      </w:tabs>
      <w:rPr>
        <w:sz w:val="14"/>
      </w:rPr>
    </w:pPr>
    <w:r w:rsidRPr="00200394">
      <w:rPr>
        <w:sz w:val="14"/>
      </w:rPr>
      <w:tab/>
    </w:r>
  </w:p>
  <w:p w14:paraId="06C90C00" w14:textId="77777777" w:rsidR="0039446D" w:rsidRPr="00344C6A" w:rsidRDefault="0039446D" w:rsidP="00344C6A">
    <w:pPr>
      <w:tabs>
        <w:tab w:val="right" w:pos="11660"/>
      </w:tabs>
      <w:rPr>
        <w:sz w:val="15"/>
      </w:rPr>
    </w:pPr>
    <w:r w:rsidRPr="00344C6A">
      <w:rPr>
        <w:rFonts w:eastAsia="Arial"/>
        <w:sz w:val="14"/>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9BA25" w14:textId="530D0E5D" w:rsidR="00344C6A" w:rsidRDefault="000508AD" w:rsidP="00344C6A">
    <w:pPr>
      <w:pStyle w:val="Footer"/>
      <w:rPr>
        <w:rFonts w:ascii="Arial" w:eastAsia="Arial" w:hAnsi="Arial" w:cs="Arial"/>
        <w:color w:val="296DC1"/>
        <w:sz w:val="16"/>
        <w:szCs w:val="16"/>
      </w:rPr>
    </w:pPr>
    <w:r>
      <w:rPr>
        <w:rFonts w:ascii="Arial" w:eastAsia="Arial" w:hAnsi="Arial" w:cs="Arial"/>
        <w:color w:val="296DC1"/>
        <w:sz w:val="16"/>
        <w:szCs w:val="16"/>
      </w:rPr>
      <w:t>February</w:t>
    </w:r>
    <w:r w:rsidR="005D7650">
      <w:rPr>
        <w:rFonts w:ascii="Arial" w:eastAsia="Arial" w:hAnsi="Arial" w:cs="Arial"/>
        <w:color w:val="296DC1"/>
        <w:sz w:val="16"/>
        <w:szCs w:val="16"/>
      </w:rPr>
      <w:t xml:space="preserve"> 202</w:t>
    </w:r>
    <w:r w:rsidR="00A94BE5">
      <w:rPr>
        <w:rFonts w:ascii="Arial" w:eastAsia="Arial" w:hAnsi="Arial" w:cs="Arial"/>
        <w:color w:val="296DC1"/>
        <w:sz w:val="16"/>
        <w:szCs w:val="16"/>
      </w:rPr>
      <w:t>6</w:t>
    </w:r>
    <w:r w:rsidR="00344C6A">
      <w:rPr>
        <w:rFonts w:ascii="Arial" w:eastAsia="Arial" w:hAnsi="Arial" w:cs="Arial"/>
        <w:color w:val="296DC1"/>
        <w:sz w:val="16"/>
        <w:szCs w:val="16"/>
      </w:rPr>
      <w:tab/>
    </w:r>
    <w:r w:rsidR="00344C6A">
      <w:rPr>
        <w:color w:val="296DC1"/>
        <w:sz w:val="20"/>
        <w:szCs w:val="20"/>
      </w:rPr>
      <w:tab/>
    </w:r>
    <w:r w:rsidR="00344C6A">
      <w:rPr>
        <w:rFonts w:ascii="Arial" w:eastAsia="Arial" w:hAnsi="Arial" w:cs="Arial"/>
        <w:color w:val="296DC1"/>
        <w:sz w:val="16"/>
        <w:szCs w:val="16"/>
      </w:rPr>
      <w:t xml:space="preserve">Page </w:t>
    </w:r>
    <w:r w:rsidR="00344C6A" w:rsidRPr="00C80983">
      <w:rPr>
        <w:rFonts w:ascii="Arial" w:eastAsia="Arial" w:hAnsi="Arial" w:cs="Arial"/>
        <w:color w:val="296DC1"/>
        <w:sz w:val="16"/>
        <w:szCs w:val="16"/>
      </w:rPr>
      <w:fldChar w:fldCharType="begin"/>
    </w:r>
    <w:r w:rsidR="00344C6A" w:rsidRPr="00C80983">
      <w:rPr>
        <w:rFonts w:ascii="Arial" w:eastAsia="Arial" w:hAnsi="Arial" w:cs="Arial"/>
        <w:color w:val="296DC1"/>
        <w:sz w:val="16"/>
        <w:szCs w:val="16"/>
      </w:rPr>
      <w:instrText xml:space="preserve"> PAGE   \* MERGEFORMAT </w:instrText>
    </w:r>
    <w:r w:rsidR="00344C6A" w:rsidRPr="00C80983">
      <w:rPr>
        <w:rFonts w:ascii="Arial" w:eastAsia="Arial" w:hAnsi="Arial" w:cs="Arial"/>
        <w:color w:val="296DC1"/>
        <w:sz w:val="16"/>
        <w:szCs w:val="16"/>
      </w:rPr>
      <w:fldChar w:fldCharType="separate"/>
    </w:r>
    <w:r w:rsidR="007B7C5A">
      <w:rPr>
        <w:rFonts w:ascii="Arial" w:eastAsia="Arial" w:hAnsi="Arial" w:cs="Arial"/>
        <w:noProof/>
        <w:color w:val="296DC1"/>
        <w:sz w:val="16"/>
        <w:szCs w:val="16"/>
      </w:rPr>
      <w:t>3</w:t>
    </w:r>
    <w:r w:rsidR="00344C6A" w:rsidRPr="00C80983">
      <w:rPr>
        <w:rFonts w:ascii="Arial" w:eastAsia="Arial" w:hAnsi="Arial" w:cs="Arial"/>
        <w:noProof/>
        <w:color w:val="296DC1"/>
        <w:sz w:val="16"/>
        <w:szCs w:val="16"/>
      </w:rPr>
      <w:fldChar w:fldCharType="end"/>
    </w:r>
  </w:p>
  <w:p w14:paraId="7D380973" w14:textId="77777777" w:rsidR="00344C6A" w:rsidRDefault="00344C6A" w:rsidP="00344C6A">
    <w:pPr>
      <w:tabs>
        <w:tab w:val="right" w:pos="11660"/>
      </w:tabs>
      <w:rPr>
        <w:sz w:val="14"/>
      </w:rPr>
    </w:pPr>
    <w:r w:rsidRPr="00200394">
      <w:rPr>
        <w:sz w:val="14"/>
      </w:rPr>
      <w:tab/>
    </w:r>
  </w:p>
  <w:p w14:paraId="7F06E9DD" w14:textId="2FA4AB57" w:rsidR="00344C6A" w:rsidRPr="00344C6A" w:rsidRDefault="00344C6A" w:rsidP="00344C6A">
    <w:pPr>
      <w:tabs>
        <w:tab w:val="right" w:pos="11660"/>
      </w:tabs>
      <w:rPr>
        <w:sz w:val="15"/>
      </w:rPr>
    </w:pPr>
    <w:r w:rsidRPr="00344C6A">
      <w:rPr>
        <w:rFonts w:eastAsia="Arial"/>
        <w:sz w:val="14"/>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2EFE30" w14:textId="77777777" w:rsidR="00385138" w:rsidRDefault="00385138" w:rsidP="005E363C">
      <w:r>
        <w:separator/>
      </w:r>
    </w:p>
  </w:footnote>
  <w:footnote w:type="continuationSeparator" w:id="0">
    <w:p w14:paraId="2A674E3C" w14:textId="77777777" w:rsidR="00385138" w:rsidRDefault="00385138" w:rsidP="005E36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01DE9" w14:textId="77777777" w:rsidR="0039446D" w:rsidRPr="007504BD" w:rsidRDefault="0039446D" w:rsidP="007504BD">
    <w:pPr>
      <w:ind w:left="590" w:right="792"/>
      <w:jc w:val="right"/>
      <w:rPr>
        <w:sz w:val="28"/>
        <w:szCs w:val="28"/>
      </w:rPr>
    </w:pPr>
    <w:r w:rsidRPr="007504BD">
      <w:rPr>
        <w:rFonts w:ascii="Arial" w:eastAsia="Arial" w:hAnsi="Arial" w:cs="Arial"/>
        <w:color w:val="808080"/>
        <w:sz w:val="28"/>
        <w:szCs w:val="28"/>
      </w:rPr>
      <w:t>BofA Finance LLC</w:t>
    </w:r>
  </w:p>
  <w:p w14:paraId="7FA84949" w14:textId="1C855852" w:rsidR="0039446D" w:rsidRDefault="0039446D" w:rsidP="007504BD">
    <w:pPr>
      <w:pBdr>
        <w:top w:val="single" w:sz="4" w:space="0" w:color="296DC1"/>
        <w:bottom w:val="single" w:sz="4" w:space="0" w:color="0070C0"/>
      </w:pBdr>
      <w:spacing w:before="330" w:after="220"/>
      <w:ind w:right="792"/>
    </w:pPr>
    <w:r>
      <w:rPr>
        <w:rFonts w:ascii="Arial" w:eastAsia="Arial" w:hAnsi="Arial" w:cs="Arial"/>
        <w:color w:val="296DC1"/>
        <w:sz w:val="22"/>
        <w:szCs w:val="22"/>
      </w:rPr>
      <w:t xml:space="preserve">Callable Contingent Income Securities due </w:t>
    </w:r>
    <w:r w:rsidR="00290387">
      <w:rPr>
        <w:rFonts w:ascii="Arial" w:eastAsia="Arial" w:hAnsi="Arial" w:cs="Arial"/>
        <w:color w:val="296DC1"/>
        <w:sz w:val="22"/>
        <w:szCs w:val="22"/>
      </w:rPr>
      <w:t>February 25, 2028</w:t>
    </w:r>
    <w:r>
      <w:rPr>
        <w:rFonts w:ascii="Arial" w:eastAsia="Arial" w:hAnsi="Arial" w:cs="Arial"/>
        <w:color w:val="296DC1"/>
        <w:sz w:val="22"/>
        <w:szCs w:val="22"/>
      </w:rPr>
      <w:br/>
    </w:r>
    <w:r>
      <w:rPr>
        <w:rFonts w:ascii="Arial" w:eastAsia="Arial" w:hAnsi="Arial" w:cs="Arial"/>
        <w:b/>
        <w:bCs/>
        <w:color w:val="808080"/>
        <w:sz w:val="17"/>
        <w:szCs w:val="17"/>
      </w:rPr>
      <w:t>All Payments on the Securities Based on the Performance of the S&amp;P 500</w:t>
    </w:r>
    <w:r>
      <w:rPr>
        <w:rFonts w:ascii="Arial" w:eastAsia="Arial" w:hAnsi="Arial" w:cs="Arial"/>
        <w:b/>
        <w:bCs/>
        <w:color w:val="808080"/>
        <w:sz w:val="12"/>
        <w:szCs w:val="12"/>
        <w:vertAlign w:val="superscript"/>
      </w:rPr>
      <w:t>®</w:t>
    </w:r>
    <w:r>
      <w:rPr>
        <w:rFonts w:ascii="Arial" w:eastAsia="Arial" w:hAnsi="Arial" w:cs="Arial"/>
        <w:b/>
        <w:bCs/>
        <w:color w:val="808080"/>
        <w:sz w:val="17"/>
        <w:szCs w:val="17"/>
      </w:rPr>
      <w:t xml:space="preserve"> Index</w:t>
    </w:r>
    <w:r>
      <w:rPr>
        <w:rFonts w:ascii="Arial" w:eastAsia="Arial" w:hAnsi="Arial" w:cs="Arial"/>
        <w:b/>
        <w:bCs/>
        <w:color w:val="808080"/>
        <w:sz w:val="17"/>
        <w:szCs w:val="17"/>
      </w:rPr>
      <w:br/>
    </w:r>
    <w:r>
      <w:rPr>
        <w:rFonts w:ascii="Arial" w:eastAsia="Arial" w:hAnsi="Arial" w:cs="Arial"/>
        <w:b/>
        <w:bCs/>
        <w:color w:val="808080"/>
        <w:sz w:val="14"/>
        <w:szCs w:val="14"/>
      </w:rPr>
      <w:t>Principal at Risk Securities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DE944" w14:textId="77777777" w:rsidR="00344C6A" w:rsidRPr="007504BD" w:rsidRDefault="00344C6A" w:rsidP="007504BD">
    <w:pPr>
      <w:ind w:left="590" w:right="792"/>
      <w:jc w:val="right"/>
      <w:rPr>
        <w:sz w:val="28"/>
        <w:szCs w:val="28"/>
      </w:rPr>
    </w:pPr>
    <w:r w:rsidRPr="007504BD">
      <w:rPr>
        <w:rFonts w:ascii="Arial" w:eastAsia="Arial" w:hAnsi="Arial" w:cs="Arial"/>
        <w:color w:val="808080"/>
        <w:sz w:val="28"/>
        <w:szCs w:val="28"/>
      </w:rPr>
      <w:t>BofA Finance LLC</w:t>
    </w:r>
  </w:p>
  <w:p w14:paraId="681ABE87" w14:textId="2BEC4F21" w:rsidR="00344C6A" w:rsidRDefault="00344C6A" w:rsidP="007504BD">
    <w:pPr>
      <w:pBdr>
        <w:top w:val="single" w:sz="4" w:space="0" w:color="296DC1"/>
        <w:bottom w:val="single" w:sz="4" w:space="0" w:color="0070C0"/>
      </w:pBdr>
      <w:spacing w:before="330" w:after="220"/>
      <w:ind w:right="792"/>
    </w:pPr>
    <w:r>
      <w:rPr>
        <w:rFonts w:ascii="Arial" w:eastAsia="Arial" w:hAnsi="Arial" w:cs="Arial"/>
        <w:color w:val="296DC1"/>
        <w:sz w:val="22"/>
        <w:szCs w:val="22"/>
      </w:rPr>
      <w:t xml:space="preserve">Callable Contingent Income Securities due </w:t>
    </w:r>
    <w:r w:rsidR="00290387">
      <w:rPr>
        <w:rFonts w:ascii="Arial" w:eastAsia="Arial" w:hAnsi="Arial" w:cs="Arial"/>
        <w:color w:val="296DC1"/>
        <w:sz w:val="22"/>
        <w:szCs w:val="22"/>
      </w:rPr>
      <w:t>February 25, 2028</w:t>
    </w:r>
    <w:r>
      <w:rPr>
        <w:rFonts w:ascii="Arial" w:eastAsia="Arial" w:hAnsi="Arial" w:cs="Arial"/>
        <w:color w:val="296DC1"/>
        <w:sz w:val="22"/>
        <w:szCs w:val="22"/>
      </w:rPr>
      <w:br/>
    </w:r>
    <w:r>
      <w:rPr>
        <w:rFonts w:ascii="Arial" w:eastAsia="Arial" w:hAnsi="Arial" w:cs="Arial"/>
        <w:b/>
        <w:bCs/>
        <w:color w:val="808080"/>
        <w:sz w:val="17"/>
        <w:szCs w:val="17"/>
      </w:rPr>
      <w:t>All Payments on the Securities Based on the Performance of the S&amp;P 500</w:t>
    </w:r>
    <w:r>
      <w:rPr>
        <w:rFonts w:ascii="Arial" w:eastAsia="Arial" w:hAnsi="Arial" w:cs="Arial"/>
        <w:b/>
        <w:bCs/>
        <w:color w:val="808080"/>
        <w:sz w:val="12"/>
        <w:szCs w:val="12"/>
        <w:vertAlign w:val="superscript"/>
      </w:rPr>
      <w:t>®</w:t>
    </w:r>
    <w:r>
      <w:rPr>
        <w:rFonts w:ascii="Arial" w:eastAsia="Arial" w:hAnsi="Arial" w:cs="Arial"/>
        <w:b/>
        <w:bCs/>
        <w:color w:val="808080"/>
        <w:sz w:val="17"/>
        <w:szCs w:val="17"/>
      </w:rPr>
      <w:t xml:space="preserve"> Index</w:t>
    </w:r>
    <w:r>
      <w:rPr>
        <w:rFonts w:ascii="Arial" w:eastAsia="Arial" w:hAnsi="Arial" w:cs="Arial"/>
        <w:b/>
        <w:bCs/>
        <w:color w:val="808080"/>
        <w:sz w:val="17"/>
        <w:szCs w:val="17"/>
      </w:rPr>
      <w:br/>
    </w:r>
    <w:r>
      <w:rPr>
        <w:rFonts w:ascii="Arial" w:eastAsia="Arial" w:hAnsi="Arial" w:cs="Arial"/>
        <w:b/>
        <w:bCs/>
        <w:color w:val="808080"/>
        <w:sz w:val="14"/>
        <w:szCs w:val="14"/>
      </w:rPr>
      <w:t>Principal at Risk Securities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79BC"/>
    <w:multiLevelType w:val="hybridMultilevel"/>
    <w:tmpl w:val="00000000"/>
    <w:lvl w:ilvl="0" w:tplc="623C1070">
      <w:start w:val="1"/>
      <w:numFmt w:val="bullet"/>
      <w:lvlText w:val="●"/>
      <w:lvlJc w:val="left"/>
      <w:pPr>
        <w:tabs>
          <w:tab w:val="num" w:pos="576"/>
        </w:tabs>
        <w:ind w:left="576" w:hanging="360"/>
      </w:pPr>
      <w:rPr>
        <w:rFonts w:ascii="Arial, ZapfDingbats" w:eastAsia="Arial, ZapfDingbats" w:hAnsi="Arial, ZapfDingbats" w:cs="Arial, ZapfDingbats" w:hint="default"/>
        <w:b w:val="0"/>
        <w:i w:val="0"/>
        <w:color w:val="0080FF"/>
        <w:sz w:val="10"/>
      </w:rPr>
    </w:lvl>
    <w:lvl w:ilvl="1" w:tplc="1D6CF870">
      <w:start w:val="1"/>
      <w:numFmt w:val="decimal"/>
      <w:lvlText w:val=""/>
      <w:lvlJc w:val="left"/>
    </w:lvl>
    <w:lvl w:ilvl="2" w:tplc="62F23F2E">
      <w:start w:val="1"/>
      <w:numFmt w:val="decimal"/>
      <w:lvlText w:val=""/>
      <w:lvlJc w:val="left"/>
    </w:lvl>
    <w:lvl w:ilvl="3" w:tplc="5540D660">
      <w:start w:val="1"/>
      <w:numFmt w:val="decimal"/>
      <w:lvlText w:val=""/>
      <w:lvlJc w:val="left"/>
    </w:lvl>
    <w:lvl w:ilvl="4" w:tplc="A386EAA2">
      <w:start w:val="1"/>
      <w:numFmt w:val="decimal"/>
      <w:lvlText w:val=""/>
      <w:lvlJc w:val="left"/>
    </w:lvl>
    <w:lvl w:ilvl="5" w:tplc="E4C02EF4">
      <w:start w:val="1"/>
      <w:numFmt w:val="decimal"/>
      <w:lvlText w:val=""/>
      <w:lvlJc w:val="left"/>
    </w:lvl>
    <w:lvl w:ilvl="6" w:tplc="C0400488">
      <w:start w:val="1"/>
      <w:numFmt w:val="decimal"/>
      <w:lvlText w:val=""/>
      <w:lvlJc w:val="left"/>
    </w:lvl>
    <w:lvl w:ilvl="7" w:tplc="13AABCE4">
      <w:start w:val="1"/>
      <w:numFmt w:val="decimal"/>
      <w:lvlText w:val=""/>
      <w:lvlJc w:val="left"/>
    </w:lvl>
    <w:lvl w:ilvl="8" w:tplc="FEDE3AAA">
      <w:start w:val="1"/>
      <w:numFmt w:val="decimal"/>
      <w:lvlText w:val=""/>
      <w:lvlJc w:val="left"/>
    </w:lvl>
  </w:abstractNum>
  <w:abstractNum w:abstractNumId="1" w15:restartNumberingAfterBreak="0">
    <w:nsid w:val="09DF5822"/>
    <w:multiLevelType w:val="hybridMultilevel"/>
    <w:tmpl w:val="AB927B3C"/>
    <w:lvl w:ilvl="0" w:tplc="05D2CDA6">
      <w:start w:val="1"/>
      <w:numFmt w:val="bullet"/>
      <w:lvlText w:val=""/>
      <w:lvlJc w:val="left"/>
      <w:pPr>
        <w:ind w:left="72" w:firstLine="396"/>
      </w:pPr>
      <w:rPr>
        <w:rFonts w:ascii="Symbol" w:hAnsi="Symbol" w:hint="default"/>
      </w:rPr>
    </w:lvl>
    <w:lvl w:ilvl="1" w:tplc="FFFFFFFF" w:tentative="1">
      <w:start w:val="1"/>
      <w:numFmt w:val="bullet"/>
      <w:lvlText w:val="o"/>
      <w:lvlJc w:val="left"/>
      <w:pPr>
        <w:ind w:left="1548" w:hanging="360"/>
      </w:pPr>
      <w:rPr>
        <w:rFonts w:ascii="Courier New" w:hAnsi="Courier New" w:cs="Courier New" w:hint="default"/>
      </w:rPr>
    </w:lvl>
    <w:lvl w:ilvl="2" w:tplc="FFFFFFFF" w:tentative="1">
      <w:start w:val="1"/>
      <w:numFmt w:val="bullet"/>
      <w:lvlText w:val=""/>
      <w:lvlJc w:val="left"/>
      <w:pPr>
        <w:ind w:left="2268" w:hanging="360"/>
      </w:pPr>
      <w:rPr>
        <w:rFonts w:ascii="Wingdings" w:hAnsi="Wingdings" w:hint="default"/>
      </w:rPr>
    </w:lvl>
    <w:lvl w:ilvl="3" w:tplc="FFFFFFFF" w:tentative="1">
      <w:start w:val="1"/>
      <w:numFmt w:val="bullet"/>
      <w:lvlText w:val=""/>
      <w:lvlJc w:val="left"/>
      <w:pPr>
        <w:ind w:left="2988" w:hanging="360"/>
      </w:pPr>
      <w:rPr>
        <w:rFonts w:ascii="Symbol" w:hAnsi="Symbol" w:hint="default"/>
      </w:rPr>
    </w:lvl>
    <w:lvl w:ilvl="4" w:tplc="FFFFFFFF" w:tentative="1">
      <w:start w:val="1"/>
      <w:numFmt w:val="bullet"/>
      <w:lvlText w:val="o"/>
      <w:lvlJc w:val="left"/>
      <w:pPr>
        <w:ind w:left="3708" w:hanging="360"/>
      </w:pPr>
      <w:rPr>
        <w:rFonts w:ascii="Courier New" w:hAnsi="Courier New" w:cs="Courier New" w:hint="default"/>
      </w:rPr>
    </w:lvl>
    <w:lvl w:ilvl="5" w:tplc="FFFFFFFF" w:tentative="1">
      <w:start w:val="1"/>
      <w:numFmt w:val="bullet"/>
      <w:lvlText w:val=""/>
      <w:lvlJc w:val="left"/>
      <w:pPr>
        <w:ind w:left="4428" w:hanging="360"/>
      </w:pPr>
      <w:rPr>
        <w:rFonts w:ascii="Wingdings" w:hAnsi="Wingdings" w:hint="default"/>
      </w:rPr>
    </w:lvl>
    <w:lvl w:ilvl="6" w:tplc="FFFFFFFF" w:tentative="1">
      <w:start w:val="1"/>
      <w:numFmt w:val="bullet"/>
      <w:lvlText w:val=""/>
      <w:lvlJc w:val="left"/>
      <w:pPr>
        <w:ind w:left="5148" w:hanging="360"/>
      </w:pPr>
      <w:rPr>
        <w:rFonts w:ascii="Symbol" w:hAnsi="Symbol" w:hint="default"/>
      </w:rPr>
    </w:lvl>
    <w:lvl w:ilvl="7" w:tplc="FFFFFFFF" w:tentative="1">
      <w:start w:val="1"/>
      <w:numFmt w:val="bullet"/>
      <w:lvlText w:val="o"/>
      <w:lvlJc w:val="left"/>
      <w:pPr>
        <w:ind w:left="5868" w:hanging="360"/>
      </w:pPr>
      <w:rPr>
        <w:rFonts w:ascii="Courier New" w:hAnsi="Courier New" w:cs="Courier New" w:hint="default"/>
      </w:rPr>
    </w:lvl>
    <w:lvl w:ilvl="8" w:tplc="FFFFFFFF" w:tentative="1">
      <w:start w:val="1"/>
      <w:numFmt w:val="bullet"/>
      <w:lvlText w:val=""/>
      <w:lvlJc w:val="left"/>
      <w:pPr>
        <w:ind w:left="6588" w:hanging="360"/>
      </w:pPr>
      <w:rPr>
        <w:rFonts w:ascii="Wingdings" w:hAnsi="Wingdings" w:hint="default"/>
      </w:rPr>
    </w:lvl>
  </w:abstractNum>
  <w:abstractNum w:abstractNumId="2" w15:restartNumberingAfterBreak="0">
    <w:nsid w:val="1DB0AA42"/>
    <w:multiLevelType w:val="hybridMultilevel"/>
    <w:tmpl w:val="00000000"/>
    <w:lvl w:ilvl="0" w:tplc="DBCA4EA8">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E6A4D884">
      <w:start w:val="1"/>
      <w:numFmt w:val="decimal"/>
      <w:lvlText w:val=""/>
      <w:lvlJc w:val="left"/>
    </w:lvl>
    <w:lvl w:ilvl="2" w:tplc="FF82DB28">
      <w:start w:val="1"/>
      <w:numFmt w:val="decimal"/>
      <w:lvlText w:val=""/>
      <w:lvlJc w:val="left"/>
    </w:lvl>
    <w:lvl w:ilvl="3" w:tplc="0A18AE42">
      <w:start w:val="1"/>
      <w:numFmt w:val="decimal"/>
      <w:lvlText w:val=""/>
      <w:lvlJc w:val="left"/>
    </w:lvl>
    <w:lvl w:ilvl="4" w:tplc="9B34855C">
      <w:start w:val="1"/>
      <w:numFmt w:val="decimal"/>
      <w:lvlText w:val=""/>
      <w:lvlJc w:val="left"/>
    </w:lvl>
    <w:lvl w:ilvl="5" w:tplc="92FC3132">
      <w:start w:val="1"/>
      <w:numFmt w:val="decimal"/>
      <w:lvlText w:val=""/>
      <w:lvlJc w:val="left"/>
    </w:lvl>
    <w:lvl w:ilvl="6" w:tplc="C7EC294C">
      <w:start w:val="1"/>
      <w:numFmt w:val="decimal"/>
      <w:lvlText w:val=""/>
      <w:lvlJc w:val="left"/>
    </w:lvl>
    <w:lvl w:ilvl="7" w:tplc="D7C8B4FC">
      <w:start w:val="1"/>
      <w:numFmt w:val="decimal"/>
      <w:lvlText w:val=""/>
      <w:lvlJc w:val="left"/>
    </w:lvl>
    <w:lvl w:ilvl="8" w:tplc="AA9839CA">
      <w:start w:val="1"/>
      <w:numFmt w:val="decimal"/>
      <w:lvlText w:val=""/>
      <w:lvlJc w:val="left"/>
    </w:lvl>
  </w:abstractNum>
  <w:abstractNum w:abstractNumId="3" w15:restartNumberingAfterBreak="0">
    <w:nsid w:val="26EF9895"/>
    <w:multiLevelType w:val="hybridMultilevel"/>
    <w:tmpl w:val="00000000"/>
    <w:lvl w:ilvl="0" w:tplc="1DC8F3D8">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41B63102">
      <w:start w:val="1"/>
      <w:numFmt w:val="decimal"/>
      <w:lvlText w:val=""/>
      <w:lvlJc w:val="left"/>
    </w:lvl>
    <w:lvl w:ilvl="2" w:tplc="A9360E80">
      <w:start w:val="1"/>
      <w:numFmt w:val="decimal"/>
      <w:lvlText w:val=""/>
      <w:lvlJc w:val="left"/>
    </w:lvl>
    <w:lvl w:ilvl="3" w:tplc="92705BEA">
      <w:start w:val="1"/>
      <w:numFmt w:val="decimal"/>
      <w:lvlText w:val=""/>
      <w:lvlJc w:val="left"/>
    </w:lvl>
    <w:lvl w:ilvl="4" w:tplc="BE240F12">
      <w:start w:val="1"/>
      <w:numFmt w:val="decimal"/>
      <w:lvlText w:val=""/>
      <w:lvlJc w:val="left"/>
    </w:lvl>
    <w:lvl w:ilvl="5" w:tplc="681448C4">
      <w:start w:val="1"/>
      <w:numFmt w:val="decimal"/>
      <w:lvlText w:val=""/>
      <w:lvlJc w:val="left"/>
    </w:lvl>
    <w:lvl w:ilvl="6" w:tplc="1DBE8D7A">
      <w:start w:val="1"/>
      <w:numFmt w:val="decimal"/>
      <w:lvlText w:val=""/>
      <w:lvlJc w:val="left"/>
    </w:lvl>
    <w:lvl w:ilvl="7" w:tplc="FB0CABA4">
      <w:start w:val="1"/>
      <w:numFmt w:val="decimal"/>
      <w:lvlText w:val=""/>
      <w:lvlJc w:val="left"/>
    </w:lvl>
    <w:lvl w:ilvl="8" w:tplc="4A68C6BC">
      <w:start w:val="1"/>
      <w:numFmt w:val="decimal"/>
      <w:lvlText w:val=""/>
      <w:lvlJc w:val="left"/>
    </w:lvl>
  </w:abstractNum>
  <w:abstractNum w:abstractNumId="4" w15:restartNumberingAfterBreak="0">
    <w:nsid w:val="2A00130E"/>
    <w:multiLevelType w:val="hybridMultilevel"/>
    <w:tmpl w:val="00000000"/>
    <w:lvl w:ilvl="0" w:tplc="318422E0">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67127AAE">
      <w:start w:val="1"/>
      <w:numFmt w:val="decimal"/>
      <w:lvlText w:val=""/>
      <w:lvlJc w:val="left"/>
    </w:lvl>
    <w:lvl w:ilvl="2" w:tplc="ED44D3DA">
      <w:start w:val="1"/>
      <w:numFmt w:val="decimal"/>
      <w:lvlText w:val=""/>
      <w:lvlJc w:val="left"/>
    </w:lvl>
    <w:lvl w:ilvl="3" w:tplc="EA9600C8">
      <w:start w:val="1"/>
      <w:numFmt w:val="decimal"/>
      <w:lvlText w:val=""/>
      <w:lvlJc w:val="left"/>
    </w:lvl>
    <w:lvl w:ilvl="4" w:tplc="36F6C7EC">
      <w:start w:val="1"/>
      <w:numFmt w:val="decimal"/>
      <w:lvlText w:val=""/>
      <w:lvlJc w:val="left"/>
    </w:lvl>
    <w:lvl w:ilvl="5" w:tplc="43883CA0">
      <w:start w:val="1"/>
      <w:numFmt w:val="decimal"/>
      <w:lvlText w:val=""/>
      <w:lvlJc w:val="left"/>
    </w:lvl>
    <w:lvl w:ilvl="6" w:tplc="35E88544">
      <w:start w:val="1"/>
      <w:numFmt w:val="decimal"/>
      <w:lvlText w:val=""/>
      <w:lvlJc w:val="left"/>
    </w:lvl>
    <w:lvl w:ilvl="7" w:tplc="FEF0050A">
      <w:start w:val="1"/>
      <w:numFmt w:val="decimal"/>
      <w:lvlText w:val=""/>
      <w:lvlJc w:val="left"/>
    </w:lvl>
    <w:lvl w:ilvl="8" w:tplc="CB866B58">
      <w:start w:val="1"/>
      <w:numFmt w:val="decimal"/>
      <w:lvlText w:val=""/>
      <w:lvlJc w:val="left"/>
    </w:lvl>
  </w:abstractNum>
  <w:abstractNum w:abstractNumId="5" w15:restartNumberingAfterBreak="0">
    <w:nsid w:val="2B98E572"/>
    <w:multiLevelType w:val="hybridMultilevel"/>
    <w:tmpl w:val="00000000"/>
    <w:lvl w:ilvl="0" w:tplc="728A8712">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1D12B026">
      <w:start w:val="1"/>
      <w:numFmt w:val="decimal"/>
      <w:lvlText w:val=""/>
      <w:lvlJc w:val="left"/>
    </w:lvl>
    <w:lvl w:ilvl="2" w:tplc="54D6FAF0">
      <w:start w:val="1"/>
      <w:numFmt w:val="decimal"/>
      <w:lvlText w:val=""/>
      <w:lvlJc w:val="left"/>
    </w:lvl>
    <w:lvl w:ilvl="3" w:tplc="620AB6A6">
      <w:start w:val="1"/>
      <w:numFmt w:val="decimal"/>
      <w:lvlText w:val=""/>
      <w:lvlJc w:val="left"/>
    </w:lvl>
    <w:lvl w:ilvl="4" w:tplc="AE86E6C4">
      <w:start w:val="1"/>
      <w:numFmt w:val="decimal"/>
      <w:lvlText w:val=""/>
      <w:lvlJc w:val="left"/>
    </w:lvl>
    <w:lvl w:ilvl="5" w:tplc="692E7188">
      <w:start w:val="1"/>
      <w:numFmt w:val="decimal"/>
      <w:lvlText w:val=""/>
      <w:lvlJc w:val="left"/>
    </w:lvl>
    <w:lvl w:ilvl="6" w:tplc="D006F14C">
      <w:start w:val="1"/>
      <w:numFmt w:val="decimal"/>
      <w:lvlText w:val=""/>
      <w:lvlJc w:val="left"/>
    </w:lvl>
    <w:lvl w:ilvl="7" w:tplc="917246B2">
      <w:start w:val="1"/>
      <w:numFmt w:val="decimal"/>
      <w:lvlText w:val=""/>
      <w:lvlJc w:val="left"/>
    </w:lvl>
    <w:lvl w:ilvl="8" w:tplc="AB5EE15A">
      <w:start w:val="1"/>
      <w:numFmt w:val="decimal"/>
      <w:lvlText w:val=""/>
      <w:lvlJc w:val="left"/>
    </w:lvl>
  </w:abstractNum>
  <w:abstractNum w:abstractNumId="6" w15:restartNumberingAfterBreak="0">
    <w:nsid w:val="2DA26E64"/>
    <w:multiLevelType w:val="hybridMultilevel"/>
    <w:tmpl w:val="9350CE74"/>
    <w:lvl w:ilvl="0" w:tplc="04090001">
      <w:start w:val="1"/>
      <w:numFmt w:val="bullet"/>
      <w:lvlText w:val=""/>
      <w:lvlJc w:val="left"/>
      <w:pPr>
        <w:ind w:left="828" w:hanging="360"/>
      </w:pPr>
      <w:rPr>
        <w:rFonts w:ascii="Symbol" w:hAnsi="Symbol" w:hint="default"/>
      </w:rPr>
    </w:lvl>
    <w:lvl w:ilvl="1" w:tplc="04090003" w:tentative="1">
      <w:start w:val="1"/>
      <w:numFmt w:val="bullet"/>
      <w:lvlText w:val="o"/>
      <w:lvlJc w:val="left"/>
      <w:pPr>
        <w:ind w:left="1548" w:hanging="360"/>
      </w:pPr>
      <w:rPr>
        <w:rFonts w:ascii="Courier New" w:hAnsi="Courier New" w:cs="Courier New" w:hint="default"/>
      </w:rPr>
    </w:lvl>
    <w:lvl w:ilvl="2" w:tplc="04090005" w:tentative="1">
      <w:start w:val="1"/>
      <w:numFmt w:val="bullet"/>
      <w:lvlText w:val=""/>
      <w:lvlJc w:val="left"/>
      <w:pPr>
        <w:ind w:left="2268" w:hanging="360"/>
      </w:pPr>
      <w:rPr>
        <w:rFonts w:ascii="Wingdings" w:hAnsi="Wingdings" w:hint="default"/>
      </w:rPr>
    </w:lvl>
    <w:lvl w:ilvl="3" w:tplc="04090001" w:tentative="1">
      <w:start w:val="1"/>
      <w:numFmt w:val="bullet"/>
      <w:lvlText w:val=""/>
      <w:lvlJc w:val="left"/>
      <w:pPr>
        <w:ind w:left="2988" w:hanging="360"/>
      </w:pPr>
      <w:rPr>
        <w:rFonts w:ascii="Symbol" w:hAnsi="Symbol" w:hint="default"/>
      </w:rPr>
    </w:lvl>
    <w:lvl w:ilvl="4" w:tplc="04090003" w:tentative="1">
      <w:start w:val="1"/>
      <w:numFmt w:val="bullet"/>
      <w:lvlText w:val="o"/>
      <w:lvlJc w:val="left"/>
      <w:pPr>
        <w:ind w:left="3708" w:hanging="360"/>
      </w:pPr>
      <w:rPr>
        <w:rFonts w:ascii="Courier New" w:hAnsi="Courier New" w:cs="Courier New" w:hint="default"/>
      </w:rPr>
    </w:lvl>
    <w:lvl w:ilvl="5" w:tplc="04090005" w:tentative="1">
      <w:start w:val="1"/>
      <w:numFmt w:val="bullet"/>
      <w:lvlText w:val=""/>
      <w:lvlJc w:val="left"/>
      <w:pPr>
        <w:ind w:left="4428" w:hanging="360"/>
      </w:pPr>
      <w:rPr>
        <w:rFonts w:ascii="Wingdings" w:hAnsi="Wingdings" w:hint="default"/>
      </w:rPr>
    </w:lvl>
    <w:lvl w:ilvl="6" w:tplc="04090001" w:tentative="1">
      <w:start w:val="1"/>
      <w:numFmt w:val="bullet"/>
      <w:lvlText w:val=""/>
      <w:lvlJc w:val="left"/>
      <w:pPr>
        <w:ind w:left="5148" w:hanging="360"/>
      </w:pPr>
      <w:rPr>
        <w:rFonts w:ascii="Symbol" w:hAnsi="Symbol" w:hint="default"/>
      </w:rPr>
    </w:lvl>
    <w:lvl w:ilvl="7" w:tplc="04090003" w:tentative="1">
      <w:start w:val="1"/>
      <w:numFmt w:val="bullet"/>
      <w:lvlText w:val="o"/>
      <w:lvlJc w:val="left"/>
      <w:pPr>
        <w:ind w:left="5868" w:hanging="360"/>
      </w:pPr>
      <w:rPr>
        <w:rFonts w:ascii="Courier New" w:hAnsi="Courier New" w:cs="Courier New" w:hint="default"/>
      </w:rPr>
    </w:lvl>
    <w:lvl w:ilvl="8" w:tplc="04090005" w:tentative="1">
      <w:start w:val="1"/>
      <w:numFmt w:val="bullet"/>
      <w:lvlText w:val=""/>
      <w:lvlJc w:val="left"/>
      <w:pPr>
        <w:ind w:left="6588" w:hanging="360"/>
      </w:pPr>
      <w:rPr>
        <w:rFonts w:ascii="Wingdings" w:hAnsi="Wingdings" w:hint="default"/>
      </w:rPr>
    </w:lvl>
  </w:abstractNum>
  <w:abstractNum w:abstractNumId="7" w15:restartNumberingAfterBreak="0">
    <w:nsid w:val="2F5C5580"/>
    <w:multiLevelType w:val="hybridMultilevel"/>
    <w:tmpl w:val="00000000"/>
    <w:lvl w:ilvl="0" w:tplc="D7624C42">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0EB48076">
      <w:start w:val="1"/>
      <w:numFmt w:val="decimal"/>
      <w:lvlText w:val=""/>
      <w:lvlJc w:val="left"/>
    </w:lvl>
    <w:lvl w:ilvl="2" w:tplc="CC2E7848">
      <w:start w:val="1"/>
      <w:numFmt w:val="decimal"/>
      <w:lvlText w:val=""/>
      <w:lvlJc w:val="left"/>
    </w:lvl>
    <w:lvl w:ilvl="3" w:tplc="BFD6F812">
      <w:start w:val="1"/>
      <w:numFmt w:val="decimal"/>
      <w:lvlText w:val=""/>
      <w:lvlJc w:val="left"/>
    </w:lvl>
    <w:lvl w:ilvl="4" w:tplc="5F409512">
      <w:start w:val="1"/>
      <w:numFmt w:val="decimal"/>
      <w:lvlText w:val=""/>
      <w:lvlJc w:val="left"/>
    </w:lvl>
    <w:lvl w:ilvl="5" w:tplc="6A9A1EA8">
      <w:start w:val="1"/>
      <w:numFmt w:val="decimal"/>
      <w:lvlText w:val=""/>
      <w:lvlJc w:val="left"/>
    </w:lvl>
    <w:lvl w:ilvl="6" w:tplc="7372715E">
      <w:start w:val="1"/>
      <w:numFmt w:val="decimal"/>
      <w:lvlText w:val=""/>
      <w:lvlJc w:val="left"/>
    </w:lvl>
    <w:lvl w:ilvl="7" w:tplc="C1D8FA80">
      <w:start w:val="1"/>
      <w:numFmt w:val="decimal"/>
      <w:lvlText w:val=""/>
      <w:lvlJc w:val="left"/>
    </w:lvl>
    <w:lvl w:ilvl="8" w:tplc="CDDE7D5A">
      <w:start w:val="1"/>
      <w:numFmt w:val="decimal"/>
      <w:lvlText w:val=""/>
      <w:lvlJc w:val="left"/>
    </w:lvl>
  </w:abstractNum>
  <w:abstractNum w:abstractNumId="8" w15:restartNumberingAfterBreak="0">
    <w:nsid w:val="301B9982"/>
    <w:multiLevelType w:val="hybridMultilevel"/>
    <w:tmpl w:val="00000000"/>
    <w:lvl w:ilvl="0" w:tplc="5A26C1D8">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00342BA2">
      <w:start w:val="1"/>
      <w:numFmt w:val="decimal"/>
      <w:lvlText w:val=""/>
      <w:lvlJc w:val="left"/>
    </w:lvl>
    <w:lvl w:ilvl="2" w:tplc="731442FA">
      <w:start w:val="1"/>
      <w:numFmt w:val="decimal"/>
      <w:lvlText w:val=""/>
      <w:lvlJc w:val="left"/>
    </w:lvl>
    <w:lvl w:ilvl="3" w:tplc="FF94951A">
      <w:start w:val="1"/>
      <w:numFmt w:val="decimal"/>
      <w:lvlText w:val=""/>
      <w:lvlJc w:val="left"/>
    </w:lvl>
    <w:lvl w:ilvl="4" w:tplc="7B5296E0">
      <w:start w:val="1"/>
      <w:numFmt w:val="decimal"/>
      <w:lvlText w:val=""/>
      <w:lvlJc w:val="left"/>
    </w:lvl>
    <w:lvl w:ilvl="5" w:tplc="B0F8B59C">
      <w:start w:val="1"/>
      <w:numFmt w:val="decimal"/>
      <w:lvlText w:val=""/>
      <w:lvlJc w:val="left"/>
    </w:lvl>
    <w:lvl w:ilvl="6" w:tplc="D36C8418">
      <w:start w:val="1"/>
      <w:numFmt w:val="decimal"/>
      <w:lvlText w:val=""/>
      <w:lvlJc w:val="left"/>
    </w:lvl>
    <w:lvl w:ilvl="7" w:tplc="F0268610">
      <w:start w:val="1"/>
      <w:numFmt w:val="decimal"/>
      <w:lvlText w:val=""/>
      <w:lvlJc w:val="left"/>
    </w:lvl>
    <w:lvl w:ilvl="8" w:tplc="7C8A551E">
      <w:start w:val="1"/>
      <w:numFmt w:val="decimal"/>
      <w:lvlText w:val=""/>
      <w:lvlJc w:val="left"/>
    </w:lvl>
  </w:abstractNum>
  <w:abstractNum w:abstractNumId="9" w15:restartNumberingAfterBreak="0">
    <w:nsid w:val="31D54F5D"/>
    <w:multiLevelType w:val="hybridMultilevel"/>
    <w:tmpl w:val="00000000"/>
    <w:lvl w:ilvl="0" w:tplc="6194ED62">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55F637BA">
      <w:start w:val="1"/>
      <w:numFmt w:val="decimal"/>
      <w:lvlText w:val=""/>
      <w:lvlJc w:val="left"/>
    </w:lvl>
    <w:lvl w:ilvl="2" w:tplc="6D60666E">
      <w:start w:val="1"/>
      <w:numFmt w:val="decimal"/>
      <w:lvlText w:val=""/>
      <w:lvlJc w:val="left"/>
    </w:lvl>
    <w:lvl w:ilvl="3" w:tplc="F1BAFBE4">
      <w:start w:val="1"/>
      <w:numFmt w:val="decimal"/>
      <w:lvlText w:val=""/>
      <w:lvlJc w:val="left"/>
    </w:lvl>
    <w:lvl w:ilvl="4" w:tplc="E2AA4752">
      <w:start w:val="1"/>
      <w:numFmt w:val="decimal"/>
      <w:lvlText w:val=""/>
      <w:lvlJc w:val="left"/>
    </w:lvl>
    <w:lvl w:ilvl="5" w:tplc="8474F0B0">
      <w:start w:val="1"/>
      <w:numFmt w:val="decimal"/>
      <w:lvlText w:val=""/>
      <w:lvlJc w:val="left"/>
    </w:lvl>
    <w:lvl w:ilvl="6" w:tplc="36CA5922">
      <w:start w:val="1"/>
      <w:numFmt w:val="decimal"/>
      <w:lvlText w:val=""/>
      <w:lvlJc w:val="left"/>
    </w:lvl>
    <w:lvl w:ilvl="7" w:tplc="D2C694B4">
      <w:start w:val="1"/>
      <w:numFmt w:val="decimal"/>
      <w:lvlText w:val=""/>
      <w:lvlJc w:val="left"/>
    </w:lvl>
    <w:lvl w:ilvl="8" w:tplc="427887D2">
      <w:start w:val="1"/>
      <w:numFmt w:val="decimal"/>
      <w:lvlText w:val=""/>
      <w:lvlJc w:val="left"/>
    </w:lvl>
  </w:abstractNum>
  <w:abstractNum w:abstractNumId="10" w15:restartNumberingAfterBreak="0">
    <w:nsid w:val="345613D1"/>
    <w:multiLevelType w:val="hybridMultilevel"/>
    <w:tmpl w:val="FCE21F72"/>
    <w:lvl w:ilvl="0" w:tplc="7EFC2014">
      <w:start w:val="1"/>
      <w:numFmt w:val="bullet"/>
      <w:lvlText w:val=""/>
      <w:lvlJc w:val="left"/>
      <w:pPr>
        <w:ind w:left="720" w:hanging="360"/>
      </w:pPr>
      <w:rPr>
        <w:rFonts w:ascii="Symbol" w:hAnsi="Symbol" w:hint="default"/>
      </w:rPr>
    </w:lvl>
    <w:lvl w:ilvl="1" w:tplc="FF527FA0" w:tentative="1">
      <w:start w:val="1"/>
      <w:numFmt w:val="bullet"/>
      <w:lvlText w:val="o"/>
      <w:lvlJc w:val="left"/>
      <w:pPr>
        <w:ind w:left="1440" w:hanging="360"/>
      </w:pPr>
      <w:rPr>
        <w:rFonts w:ascii="Courier New" w:hAnsi="Courier New" w:cs="Courier New" w:hint="default"/>
      </w:rPr>
    </w:lvl>
    <w:lvl w:ilvl="2" w:tplc="A44C9EDC" w:tentative="1">
      <w:start w:val="1"/>
      <w:numFmt w:val="bullet"/>
      <w:lvlText w:val=""/>
      <w:lvlJc w:val="left"/>
      <w:pPr>
        <w:ind w:left="2160" w:hanging="360"/>
      </w:pPr>
      <w:rPr>
        <w:rFonts w:ascii="Wingdings" w:hAnsi="Wingdings" w:hint="default"/>
      </w:rPr>
    </w:lvl>
    <w:lvl w:ilvl="3" w:tplc="ED520370" w:tentative="1">
      <w:start w:val="1"/>
      <w:numFmt w:val="bullet"/>
      <w:lvlText w:val=""/>
      <w:lvlJc w:val="left"/>
      <w:pPr>
        <w:ind w:left="2880" w:hanging="360"/>
      </w:pPr>
      <w:rPr>
        <w:rFonts w:ascii="Symbol" w:hAnsi="Symbol" w:hint="default"/>
      </w:rPr>
    </w:lvl>
    <w:lvl w:ilvl="4" w:tplc="43045458" w:tentative="1">
      <w:start w:val="1"/>
      <w:numFmt w:val="bullet"/>
      <w:lvlText w:val="o"/>
      <w:lvlJc w:val="left"/>
      <w:pPr>
        <w:ind w:left="3600" w:hanging="360"/>
      </w:pPr>
      <w:rPr>
        <w:rFonts w:ascii="Courier New" w:hAnsi="Courier New" w:cs="Courier New" w:hint="default"/>
      </w:rPr>
    </w:lvl>
    <w:lvl w:ilvl="5" w:tplc="27207170" w:tentative="1">
      <w:start w:val="1"/>
      <w:numFmt w:val="bullet"/>
      <w:lvlText w:val=""/>
      <w:lvlJc w:val="left"/>
      <w:pPr>
        <w:ind w:left="4320" w:hanging="360"/>
      </w:pPr>
      <w:rPr>
        <w:rFonts w:ascii="Wingdings" w:hAnsi="Wingdings" w:hint="default"/>
      </w:rPr>
    </w:lvl>
    <w:lvl w:ilvl="6" w:tplc="484CF17C" w:tentative="1">
      <w:start w:val="1"/>
      <w:numFmt w:val="bullet"/>
      <w:lvlText w:val=""/>
      <w:lvlJc w:val="left"/>
      <w:pPr>
        <w:ind w:left="5040" w:hanging="360"/>
      </w:pPr>
      <w:rPr>
        <w:rFonts w:ascii="Symbol" w:hAnsi="Symbol" w:hint="default"/>
      </w:rPr>
    </w:lvl>
    <w:lvl w:ilvl="7" w:tplc="E47CFE9E" w:tentative="1">
      <w:start w:val="1"/>
      <w:numFmt w:val="bullet"/>
      <w:lvlText w:val="o"/>
      <w:lvlJc w:val="left"/>
      <w:pPr>
        <w:ind w:left="5760" w:hanging="360"/>
      </w:pPr>
      <w:rPr>
        <w:rFonts w:ascii="Courier New" w:hAnsi="Courier New" w:cs="Courier New" w:hint="default"/>
      </w:rPr>
    </w:lvl>
    <w:lvl w:ilvl="8" w:tplc="8C2E2EDA" w:tentative="1">
      <w:start w:val="1"/>
      <w:numFmt w:val="bullet"/>
      <w:lvlText w:val=""/>
      <w:lvlJc w:val="left"/>
      <w:pPr>
        <w:ind w:left="6480" w:hanging="360"/>
      </w:pPr>
      <w:rPr>
        <w:rFonts w:ascii="Wingdings" w:hAnsi="Wingdings" w:hint="default"/>
      </w:rPr>
    </w:lvl>
  </w:abstractNum>
  <w:abstractNum w:abstractNumId="11" w15:restartNumberingAfterBreak="0">
    <w:nsid w:val="3BDD2D47"/>
    <w:multiLevelType w:val="hybridMultilevel"/>
    <w:tmpl w:val="00000000"/>
    <w:lvl w:ilvl="0" w:tplc="35CAF0BE">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46C2E484">
      <w:start w:val="1"/>
      <w:numFmt w:val="decimal"/>
      <w:lvlText w:val=""/>
      <w:lvlJc w:val="left"/>
    </w:lvl>
    <w:lvl w:ilvl="2" w:tplc="3BB4BBEE">
      <w:start w:val="1"/>
      <w:numFmt w:val="decimal"/>
      <w:lvlText w:val=""/>
      <w:lvlJc w:val="left"/>
    </w:lvl>
    <w:lvl w:ilvl="3" w:tplc="17CA1E6C">
      <w:start w:val="1"/>
      <w:numFmt w:val="decimal"/>
      <w:lvlText w:val=""/>
      <w:lvlJc w:val="left"/>
    </w:lvl>
    <w:lvl w:ilvl="4" w:tplc="61CE700C">
      <w:start w:val="1"/>
      <w:numFmt w:val="decimal"/>
      <w:lvlText w:val=""/>
      <w:lvlJc w:val="left"/>
    </w:lvl>
    <w:lvl w:ilvl="5" w:tplc="F3825198">
      <w:start w:val="1"/>
      <w:numFmt w:val="decimal"/>
      <w:lvlText w:val=""/>
      <w:lvlJc w:val="left"/>
    </w:lvl>
    <w:lvl w:ilvl="6" w:tplc="97CAAC3A">
      <w:start w:val="1"/>
      <w:numFmt w:val="decimal"/>
      <w:lvlText w:val=""/>
      <w:lvlJc w:val="left"/>
    </w:lvl>
    <w:lvl w:ilvl="7" w:tplc="E112341A">
      <w:start w:val="1"/>
      <w:numFmt w:val="decimal"/>
      <w:lvlText w:val=""/>
      <w:lvlJc w:val="left"/>
    </w:lvl>
    <w:lvl w:ilvl="8" w:tplc="4BC420F6">
      <w:start w:val="1"/>
      <w:numFmt w:val="decimal"/>
      <w:lvlText w:val=""/>
      <w:lvlJc w:val="left"/>
    </w:lvl>
  </w:abstractNum>
  <w:abstractNum w:abstractNumId="12" w15:restartNumberingAfterBreak="0">
    <w:nsid w:val="3E285399"/>
    <w:multiLevelType w:val="hybridMultilevel"/>
    <w:tmpl w:val="00000000"/>
    <w:lvl w:ilvl="0" w:tplc="4CC244F6">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FFAC08A2">
      <w:start w:val="1"/>
      <w:numFmt w:val="decimal"/>
      <w:lvlText w:val=""/>
      <w:lvlJc w:val="left"/>
    </w:lvl>
    <w:lvl w:ilvl="2" w:tplc="737CD954">
      <w:start w:val="1"/>
      <w:numFmt w:val="decimal"/>
      <w:lvlText w:val=""/>
      <w:lvlJc w:val="left"/>
    </w:lvl>
    <w:lvl w:ilvl="3" w:tplc="FAA05DB0">
      <w:start w:val="1"/>
      <w:numFmt w:val="decimal"/>
      <w:lvlText w:val=""/>
      <w:lvlJc w:val="left"/>
    </w:lvl>
    <w:lvl w:ilvl="4" w:tplc="888AA878">
      <w:start w:val="1"/>
      <w:numFmt w:val="decimal"/>
      <w:lvlText w:val=""/>
      <w:lvlJc w:val="left"/>
    </w:lvl>
    <w:lvl w:ilvl="5" w:tplc="9D7C2BC8">
      <w:start w:val="1"/>
      <w:numFmt w:val="decimal"/>
      <w:lvlText w:val=""/>
      <w:lvlJc w:val="left"/>
    </w:lvl>
    <w:lvl w:ilvl="6" w:tplc="F45C33BE">
      <w:start w:val="1"/>
      <w:numFmt w:val="decimal"/>
      <w:lvlText w:val=""/>
      <w:lvlJc w:val="left"/>
    </w:lvl>
    <w:lvl w:ilvl="7" w:tplc="80F84DF2">
      <w:start w:val="1"/>
      <w:numFmt w:val="decimal"/>
      <w:lvlText w:val=""/>
      <w:lvlJc w:val="left"/>
    </w:lvl>
    <w:lvl w:ilvl="8" w:tplc="A1B88B5E">
      <w:start w:val="1"/>
      <w:numFmt w:val="decimal"/>
      <w:lvlText w:val=""/>
      <w:lvlJc w:val="left"/>
    </w:lvl>
  </w:abstractNum>
  <w:abstractNum w:abstractNumId="13" w15:restartNumberingAfterBreak="0">
    <w:nsid w:val="50B0DF0F"/>
    <w:multiLevelType w:val="hybridMultilevel"/>
    <w:tmpl w:val="00000000"/>
    <w:lvl w:ilvl="0" w:tplc="4852CA90">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932EAE9A">
      <w:start w:val="1"/>
      <w:numFmt w:val="decimal"/>
      <w:lvlText w:val=""/>
      <w:lvlJc w:val="left"/>
    </w:lvl>
    <w:lvl w:ilvl="2" w:tplc="B8A64B1C">
      <w:start w:val="1"/>
      <w:numFmt w:val="decimal"/>
      <w:lvlText w:val=""/>
      <w:lvlJc w:val="left"/>
    </w:lvl>
    <w:lvl w:ilvl="3" w:tplc="BF8A9FF4">
      <w:start w:val="1"/>
      <w:numFmt w:val="decimal"/>
      <w:lvlText w:val=""/>
      <w:lvlJc w:val="left"/>
    </w:lvl>
    <w:lvl w:ilvl="4" w:tplc="DA569028">
      <w:start w:val="1"/>
      <w:numFmt w:val="decimal"/>
      <w:lvlText w:val=""/>
      <w:lvlJc w:val="left"/>
    </w:lvl>
    <w:lvl w:ilvl="5" w:tplc="C3B449D0">
      <w:start w:val="1"/>
      <w:numFmt w:val="decimal"/>
      <w:lvlText w:val=""/>
      <w:lvlJc w:val="left"/>
    </w:lvl>
    <w:lvl w:ilvl="6" w:tplc="2ACE8162">
      <w:start w:val="1"/>
      <w:numFmt w:val="decimal"/>
      <w:lvlText w:val=""/>
      <w:lvlJc w:val="left"/>
    </w:lvl>
    <w:lvl w:ilvl="7" w:tplc="117ADBFE">
      <w:start w:val="1"/>
      <w:numFmt w:val="decimal"/>
      <w:lvlText w:val=""/>
      <w:lvlJc w:val="left"/>
    </w:lvl>
    <w:lvl w:ilvl="8" w:tplc="4D009198">
      <w:start w:val="1"/>
      <w:numFmt w:val="decimal"/>
      <w:lvlText w:val=""/>
      <w:lvlJc w:val="left"/>
    </w:lvl>
  </w:abstractNum>
  <w:abstractNum w:abstractNumId="14" w15:restartNumberingAfterBreak="0">
    <w:nsid w:val="5422682D"/>
    <w:multiLevelType w:val="hybridMultilevel"/>
    <w:tmpl w:val="910035A6"/>
    <w:lvl w:ilvl="0" w:tplc="80500874">
      <w:start w:val="1"/>
      <w:numFmt w:val="bullet"/>
      <w:lvlText w:val=""/>
      <w:lvlJc w:val="left"/>
      <w:pPr>
        <w:ind w:left="216" w:firstLine="252"/>
      </w:pPr>
      <w:rPr>
        <w:rFonts w:ascii="Symbol" w:hAnsi="Symbol" w:hint="default"/>
      </w:rPr>
    </w:lvl>
    <w:lvl w:ilvl="1" w:tplc="FFFFFFFF" w:tentative="1">
      <w:start w:val="1"/>
      <w:numFmt w:val="bullet"/>
      <w:lvlText w:val="o"/>
      <w:lvlJc w:val="left"/>
      <w:pPr>
        <w:ind w:left="1548" w:hanging="360"/>
      </w:pPr>
      <w:rPr>
        <w:rFonts w:ascii="Courier New" w:hAnsi="Courier New" w:cs="Courier New" w:hint="default"/>
      </w:rPr>
    </w:lvl>
    <w:lvl w:ilvl="2" w:tplc="FFFFFFFF" w:tentative="1">
      <w:start w:val="1"/>
      <w:numFmt w:val="bullet"/>
      <w:lvlText w:val=""/>
      <w:lvlJc w:val="left"/>
      <w:pPr>
        <w:ind w:left="2268" w:hanging="360"/>
      </w:pPr>
      <w:rPr>
        <w:rFonts w:ascii="Wingdings" w:hAnsi="Wingdings" w:hint="default"/>
      </w:rPr>
    </w:lvl>
    <w:lvl w:ilvl="3" w:tplc="FFFFFFFF" w:tentative="1">
      <w:start w:val="1"/>
      <w:numFmt w:val="bullet"/>
      <w:lvlText w:val=""/>
      <w:lvlJc w:val="left"/>
      <w:pPr>
        <w:ind w:left="2988" w:hanging="360"/>
      </w:pPr>
      <w:rPr>
        <w:rFonts w:ascii="Symbol" w:hAnsi="Symbol" w:hint="default"/>
      </w:rPr>
    </w:lvl>
    <w:lvl w:ilvl="4" w:tplc="FFFFFFFF" w:tentative="1">
      <w:start w:val="1"/>
      <w:numFmt w:val="bullet"/>
      <w:lvlText w:val="o"/>
      <w:lvlJc w:val="left"/>
      <w:pPr>
        <w:ind w:left="3708" w:hanging="360"/>
      </w:pPr>
      <w:rPr>
        <w:rFonts w:ascii="Courier New" w:hAnsi="Courier New" w:cs="Courier New" w:hint="default"/>
      </w:rPr>
    </w:lvl>
    <w:lvl w:ilvl="5" w:tplc="FFFFFFFF" w:tentative="1">
      <w:start w:val="1"/>
      <w:numFmt w:val="bullet"/>
      <w:lvlText w:val=""/>
      <w:lvlJc w:val="left"/>
      <w:pPr>
        <w:ind w:left="4428" w:hanging="360"/>
      </w:pPr>
      <w:rPr>
        <w:rFonts w:ascii="Wingdings" w:hAnsi="Wingdings" w:hint="default"/>
      </w:rPr>
    </w:lvl>
    <w:lvl w:ilvl="6" w:tplc="FFFFFFFF" w:tentative="1">
      <w:start w:val="1"/>
      <w:numFmt w:val="bullet"/>
      <w:lvlText w:val=""/>
      <w:lvlJc w:val="left"/>
      <w:pPr>
        <w:ind w:left="5148" w:hanging="360"/>
      </w:pPr>
      <w:rPr>
        <w:rFonts w:ascii="Symbol" w:hAnsi="Symbol" w:hint="default"/>
      </w:rPr>
    </w:lvl>
    <w:lvl w:ilvl="7" w:tplc="FFFFFFFF" w:tentative="1">
      <w:start w:val="1"/>
      <w:numFmt w:val="bullet"/>
      <w:lvlText w:val="o"/>
      <w:lvlJc w:val="left"/>
      <w:pPr>
        <w:ind w:left="5868" w:hanging="360"/>
      </w:pPr>
      <w:rPr>
        <w:rFonts w:ascii="Courier New" w:hAnsi="Courier New" w:cs="Courier New" w:hint="default"/>
      </w:rPr>
    </w:lvl>
    <w:lvl w:ilvl="8" w:tplc="FFFFFFFF" w:tentative="1">
      <w:start w:val="1"/>
      <w:numFmt w:val="bullet"/>
      <w:lvlText w:val=""/>
      <w:lvlJc w:val="left"/>
      <w:pPr>
        <w:ind w:left="6588" w:hanging="360"/>
      </w:pPr>
      <w:rPr>
        <w:rFonts w:ascii="Wingdings" w:hAnsi="Wingdings" w:hint="default"/>
      </w:rPr>
    </w:lvl>
  </w:abstractNum>
  <w:abstractNum w:abstractNumId="15" w15:restartNumberingAfterBreak="0">
    <w:nsid w:val="584A9768"/>
    <w:multiLevelType w:val="hybridMultilevel"/>
    <w:tmpl w:val="00000000"/>
    <w:lvl w:ilvl="0" w:tplc="64F0A818">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0C64C908">
      <w:start w:val="1"/>
      <w:numFmt w:val="decimal"/>
      <w:lvlText w:val=""/>
      <w:lvlJc w:val="left"/>
    </w:lvl>
    <w:lvl w:ilvl="2" w:tplc="EC2CE6D0">
      <w:start w:val="1"/>
      <w:numFmt w:val="decimal"/>
      <w:lvlText w:val=""/>
      <w:lvlJc w:val="left"/>
    </w:lvl>
    <w:lvl w:ilvl="3" w:tplc="706E9BCE">
      <w:start w:val="1"/>
      <w:numFmt w:val="decimal"/>
      <w:lvlText w:val=""/>
      <w:lvlJc w:val="left"/>
    </w:lvl>
    <w:lvl w:ilvl="4" w:tplc="D3E24276">
      <w:start w:val="1"/>
      <w:numFmt w:val="decimal"/>
      <w:lvlText w:val=""/>
      <w:lvlJc w:val="left"/>
    </w:lvl>
    <w:lvl w:ilvl="5" w:tplc="24A43506">
      <w:start w:val="1"/>
      <w:numFmt w:val="decimal"/>
      <w:lvlText w:val=""/>
      <w:lvlJc w:val="left"/>
    </w:lvl>
    <w:lvl w:ilvl="6" w:tplc="B16AB96C">
      <w:start w:val="1"/>
      <w:numFmt w:val="decimal"/>
      <w:lvlText w:val=""/>
      <w:lvlJc w:val="left"/>
    </w:lvl>
    <w:lvl w:ilvl="7" w:tplc="EF669CB0">
      <w:start w:val="1"/>
      <w:numFmt w:val="decimal"/>
      <w:lvlText w:val=""/>
      <w:lvlJc w:val="left"/>
    </w:lvl>
    <w:lvl w:ilvl="8" w:tplc="75C212CA">
      <w:start w:val="1"/>
      <w:numFmt w:val="decimal"/>
      <w:lvlText w:val=""/>
      <w:lvlJc w:val="left"/>
    </w:lvl>
  </w:abstractNum>
  <w:abstractNum w:abstractNumId="16" w15:restartNumberingAfterBreak="0">
    <w:nsid w:val="5F8815CE"/>
    <w:multiLevelType w:val="hybridMultilevel"/>
    <w:tmpl w:val="00000000"/>
    <w:lvl w:ilvl="0" w:tplc="506A47D6">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486CC546">
      <w:start w:val="1"/>
      <w:numFmt w:val="decimal"/>
      <w:lvlText w:val=""/>
      <w:lvlJc w:val="left"/>
    </w:lvl>
    <w:lvl w:ilvl="2" w:tplc="C922BD32">
      <w:start w:val="1"/>
      <w:numFmt w:val="decimal"/>
      <w:lvlText w:val=""/>
      <w:lvlJc w:val="left"/>
    </w:lvl>
    <w:lvl w:ilvl="3" w:tplc="A3800032">
      <w:start w:val="1"/>
      <w:numFmt w:val="decimal"/>
      <w:lvlText w:val=""/>
      <w:lvlJc w:val="left"/>
    </w:lvl>
    <w:lvl w:ilvl="4" w:tplc="D31A2C4C">
      <w:start w:val="1"/>
      <w:numFmt w:val="decimal"/>
      <w:lvlText w:val=""/>
      <w:lvlJc w:val="left"/>
    </w:lvl>
    <w:lvl w:ilvl="5" w:tplc="A762F608">
      <w:start w:val="1"/>
      <w:numFmt w:val="decimal"/>
      <w:lvlText w:val=""/>
      <w:lvlJc w:val="left"/>
    </w:lvl>
    <w:lvl w:ilvl="6" w:tplc="4434EF76">
      <w:start w:val="1"/>
      <w:numFmt w:val="decimal"/>
      <w:lvlText w:val=""/>
      <w:lvlJc w:val="left"/>
    </w:lvl>
    <w:lvl w:ilvl="7" w:tplc="28F6BFAE">
      <w:start w:val="1"/>
      <w:numFmt w:val="decimal"/>
      <w:lvlText w:val=""/>
      <w:lvlJc w:val="left"/>
    </w:lvl>
    <w:lvl w:ilvl="8" w:tplc="00EEF184">
      <w:start w:val="1"/>
      <w:numFmt w:val="decimal"/>
      <w:lvlText w:val=""/>
      <w:lvlJc w:val="left"/>
    </w:lvl>
  </w:abstractNum>
  <w:abstractNum w:abstractNumId="17" w15:restartNumberingAfterBreak="0">
    <w:nsid w:val="6511045A"/>
    <w:multiLevelType w:val="hybridMultilevel"/>
    <w:tmpl w:val="00000000"/>
    <w:lvl w:ilvl="0" w:tplc="4C70D148">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72349F24">
      <w:start w:val="1"/>
      <w:numFmt w:val="decimal"/>
      <w:lvlText w:val=""/>
      <w:lvlJc w:val="left"/>
    </w:lvl>
    <w:lvl w:ilvl="2" w:tplc="B88097AE">
      <w:start w:val="1"/>
      <w:numFmt w:val="decimal"/>
      <w:lvlText w:val=""/>
      <w:lvlJc w:val="left"/>
    </w:lvl>
    <w:lvl w:ilvl="3" w:tplc="77542B70">
      <w:start w:val="1"/>
      <w:numFmt w:val="decimal"/>
      <w:lvlText w:val=""/>
      <w:lvlJc w:val="left"/>
    </w:lvl>
    <w:lvl w:ilvl="4" w:tplc="E15AE51E">
      <w:start w:val="1"/>
      <w:numFmt w:val="decimal"/>
      <w:lvlText w:val=""/>
      <w:lvlJc w:val="left"/>
    </w:lvl>
    <w:lvl w:ilvl="5" w:tplc="7152DFE6">
      <w:start w:val="1"/>
      <w:numFmt w:val="decimal"/>
      <w:lvlText w:val=""/>
      <w:lvlJc w:val="left"/>
    </w:lvl>
    <w:lvl w:ilvl="6" w:tplc="02D879D0">
      <w:start w:val="1"/>
      <w:numFmt w:val="decimal"/>
      <w:lvlText w:val=""/>
      <w:lvlJc w:val="left"/>
    </w:lvl>
    <w:lvl w:ilvl="7" w:tplc="BA00145E">
      <w:start w:val="1"/>
      <w:numFmt w:val="decimal"/>
      <w:lvlText w:val=""/>
      <w:lvlJc w:val="left"/>
    </w:lvl>
    <w:lvl w:ilvl="8" w:tplc="B96858C6">
      <w:start w:val="1"/>
      <w:numFmt w:val="decimal"/>
      <w:lvlText w:val=""/>
      <w:lvlJc w:val="left"/>
    </w:lvl>
  </w:abstractNum>
  <w:abstractNum w:abstractNumId="18" w15:restartNumberingAfterBreak="0">
    <w:nsid w:val="6E14387E"/>
    <w:multiLevelType w:val="hybridMultilevel"/>
    <w:tmpl w:val="00000000"/>
    <w:lvl w:ilvl="0" w:tplc="3322EA94">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B534340C">
      <w:start w:val="1"/>
      <w:numFmt w:val="decimal"/>
      <w:lvlText w:val=""/>
      <w:lvlJc w:val="left"/>
    </w:lvl>
    <w:lvl w:ilvl="2" w:tplc="2E8C1B8E">
      <w:start w:val="1"/>
      <w:numFmt w:val="decimal"/>
      <w:lvlText w:val=""/>
      <w:lvlJc w:val="left"/>
    </w:lvl>
    <w:lvl w:ilvl="3" w:tplc="89BEC7A8">
      <w:start w:val="1"/>
      <w:numFmt w:val="decimal"/>
      <w:lvlText w:val=""/>
      <w:lvlJc w:val="left"/>
    </w:lvl>
    <w:lvl w:ilvl="4" w:tplc="F76A5012">
      <w:start w:val="1"/>
      <w:numFmt w:val="decimal"/>
      <w:lvlText w:val=""/>
      <w:lvlJc w:val="left"/>
    </w:lvl>
    <w:lvl w:ilvl="5" w:tplc="26D2A234">
      <w:start w:val="1"/>
      <w:numFmt w:val="decimal"/>
      <w:lvlText w:val=""/>
      <w:lvlJc w:val="left"/>
    </w:lvl>
    <w:lvl w:ilvl="6" w:tplc="0D281736">
      <w:start w:val="1"/>
      <w:numFmt w:val="decimal"/>
      <w:lvlText w:val=""/>
      <w:lvlJc w:val="left"/>
    </w:lvl>
    <w:lvl w:ilvl="7" w:tplc="FA26392C">
      <w:start w:val="1"/>
      <w:numFmt w:val="decimal"/>
      <w:lvlText w:val=""/>
      <w:lvlJc w:val="left"/>
    </w:lvl>
    <w:lvl w:ilvl="8" w:tplc="A5AADA1A">
      <w:start w:val="1"/>
      <w:numFmt w:val="decimal"/>
      <w:lvlText w:val=""/>
      <w:lvlJc w:val="left"/>
    </w:lvl>
  </w:abstractNum>
  <w:abstractNum w:abstractNumId="19" w15:restartNumberingAfterBreak="0">
    <w:nsid w:val="708854EC"/>
    <w:multiLevelType w:val="hybridMultilevel"/>
    <w:tmpl w:val="6A221336"/>
    <w:lvl w:ilvl="0" w:tplc="C370383C">
      <w:start w:val="1"/>
      <w:numFmt w:val="bullet"/>
      <w:lvlText w:val=""/>
      <w:lvlJc w:val="left"/>
      <w:pPr>
        <w:ind w:left="360" w:hanging="216"/>
      </w:pPr>
      <w:rPr>
        <w:rFonts w:ascii="Symbol" w:hAnsi="Symbol" w:hint="default"/>
      </w:rPr>
    </w:lvl>
    <w:lvl w:ilvl="1" w:tplc="FFFFFFFF" w:tentative="1">
      <w:start w:val="1"/>
      <w:numFmt w:val="bullet"/>
      <w:lvlText w:val="o"/>
      <w:lvlJc w:val="left"/>
      <w:pPr>
        <w:ind w:left="1548" w:hanging="360"/>
      </w:pPr>
      <w:rPr>
        <w:rFonts w:ascii="Courier New" w:hAnsi="Courier New" w:cs="Courier New" w:hint="default"/>
      </w:rPr>
    </w:lvl>
    <w:lvl w:ilvl="2" w:tplc="FFFFFFFF" w:tentative="1">
      <w:start w:val="1"/>
      <w:numFmt w:val="bullet"/>
      <w:lvlText w:val=""/>
      <w:lvlJc w:val="left"/>
      <w:pPr>
        <w:ind w:left="2268" w:hanging="360"/>
      </w:pPr>
      <w:rPr>
        <w:rFonts w:ascii="Wingdings" w:hAnsi="Wingdings" w:hint="default"/>
      </w:rPr>
    </w:lvl>
    <w:lvl w:ilvl="3" w:tplc="FFFFFFFF" w:tentative="1">
      <w:start w:val="1"/>
      <w:numFmt w:val="bullet"/>
      <w:lvlText w:val=""/>
      <w:lvlJc w:val="left"/>
      <w:pPr>
        <w:ind w:left="2988" w:hanging="360"/>
      </w:pPr>
      <w:rPr>
        <w:rFonts w:ascii="Symbol" w:hAnsi="Symbol" w:hint="default"/>
      </w:rPr>
    </w:lvl>
    <w:lvl w:ilvl="4" w:tplc="FFFFFFFF" w:tentative="1">
      <w:start w:val="1"/>
      <w:numFmt w:val="bullet"/>
      <w:lvlText w:val="o"/>
      <w:lvlJc w:val="left"/>
      <w:pPr>
        <w:ind w:left="3708" w:hanging="360"/>
      </w:pPr>
      <w:rPr>
        <w:rFonts w:ascii="Courier New" w:hAnsi="Courier New" w:cs="Courier New" w:hint="default"/>
      </w:rPr>
    </w:lvl>
    <w:lvl w:ilvl="5" w:tplc="FFFFFFFF" w:tentative="1">
      <w:start w:val="1"/>
      <w:numFmt w:val="bullet"/>
      <w:lvlText w:val=""/>
      <w:lvlJc w:val="left"/>
      <w:pPr>
        <w:ind w:left="4428" w:hanging="360"/>
      </w:pPr>
      <w:rPr>
        <w:rFonts w:ascii="Wingdings" w:hAnsi="Wingdings" w:hint="default"/>
      </w:rPr>
    </w:lvl>
    <w:lvl w:ilvl="6" w:tplc="FFFFFFFF" w:tentative="1">
      <w:start w:val="1"/>
      <w:numFmt w:val="bullet"/>
      <w:lvlText w:val=""/>
      <w:lvlJc w:val="left"/>
      <w:pPr>
        <w:ind w:left="5148" w:hanging="360"/>
      </w:pPr>
      <w:rPr>
        <w:rFonts w:ascii="Symbol" w:hAnsi="Symbol" w:hint="default"/>
      </w:rPr>
    </w:lvl>
    <w:lvl w:ilvl="7" w:tplc="FFFFFFFF" w:tentative="1">
      <w:start w:val="1"/>
      <w:numFmt w:val="bullet"/>
      <w:lvlText w:val="o"/>
      <w:lvlJc w:val="left"/>
      <w:pPr>
        <w:ind w:left="5868" w:hanging="360"/>
      </w:pPr>
      <w:rPr>
        <w:rFonts w:ascii="Courier New" w:hAnsi="Courier New" w:cs="Courier New" w:hint="default"/>
      </w:rPr>
    </w:lvl>
    <w:lvl w:ilvl="8" w:tplc="FFFFFFFF" w:tentative="1">
      <w:start w:val="1"/>
      <w:numFmt w:val="bullet"/>
      <w:lvlText w:val=""/>
      <w:lvlJc w:val="left"/>
      <w:pPr>
        <w:ind w:left="6588" w:hanging="360"/>
      </w:pPr>
      <w:rPr>
        <w:rFonts w:ascii="Wingdings" w:hAnsi="Wingdings" w:hint="default"/>
      </w:rPr>
    </w:lvl>
  </w:abstractNum>
  <w:abstractNum w:abstractNumId="20" w15:restartNumberingAfterBreak="0">
    <w:nsid w:val="7894DE61"/>
    <w:multiLevelType w:val="hybridMultilevel"/>
    <w:tmpl w:val="00000000"/>
    <w:lvl w:ilvl="0" w:tplc="53A8DB2E">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23502F88">
      <w:start w:val="1"/>
      <w:numFmt w:val="decimal"/>
      <w:lvlText w:val=""/>
      <w:lvlJc w:val="left"/>
    </w:lvl>
    <w:lvl w:ilvl="2" w:tplc="D0C4A318">
      <w:start w:val="1"/>
      <w:numFmt w:val="decimal"/>
      <w:lvlText w:val=""/>
      <w:lvlJc w:val="left"/>
    </w:lvl>
    <w:lvl w:ilvl="3" w:tplc="6292FFD4">
      <w:start w:val="1"/>
      <w:numFmt w:val="decimal"/>
      <w:lvlText w:val=""/>
      <w:lvlJc w:val="left"/>
    </w:lvl>
    <w:lvl w:ilvl="4" w:tplc="FA44C40A">
      <w:start w:val="1"/>
      <w:numFmt w:val="decimal"/>
      <w:lvlText w:val=""/>
      <w:lvlJc w:val="left"/>
    </w:lvl>
    <w:lvl w:ilvl="5" w:tplc="5C26BB86">
      <w:start w:val="1"/>
      <w:numFmt w:val="decimal"/>
      <w:lvlText w:val=""/>
      <w:lvlJc w:val="left"/>
    </w:lvl>
    <w:lvl w:ilvl="6" w:tplc="B3067A50">
      <w:start w:val="1"/>
      <w:numFmt w:val="decimal"/>
      <w:lvlText w:val=""/>
      <w:lvlJc w:val="left"/>
    </w:lvl>
    <w:lvl w:ilvl="7" w:tplc="DFF6A4F6">
      <w:start w:val="1"/>
      <w:numFmt w:val="decimal"/>
      <w:lvlText w:val=""/>
      <w:lvlJc w:val="left"/>
    </w:lvl>
    <w:lvl w:ilvl="8" w:tplc="EBBAD66E">
      <w:start w:val="1"/>
      <w:numFmt w:val="decimal"/>
      <w:lvlText w:val=""/>
      <w:lvlJc w:val="left"/>
    </w:lvl>
  </w:abstractNum>
  <w:abstractNum w:abstractNumId="21" w15:restartNumberingAfterBreak="0">
    <w:nsid w:val="7F538648"/>
    <w:multiLevelType w:val="hybridMultilevel"/>
    <w:tmpl w:val="00000000"/>
    <w:lvl w:ilvl="0" w:tplc="B554E176">
      <w:start w:val="1"/>
      <w:numFmt w:val="bullet"/>
      <w:lvlText w:val="●"/>
      <w:lvlJc w:val="left"/>
      <w:pPr>
        <w:tabs>
          <w:tab w:val="num" w:pos="360"/>
        </w:tabs>
        <w:ind w:left="360" w:hanging="360"/>
      </w:pPr>
      <w:rPr>
        <w:rFonts w:ascii="Arial, ZapfDingbats" w:eastAsia="Arial, ZapfDingbats" w:hAnsi="Arial, ZapfDingbats" w:cs="Arial, ZapfDingbats" w:hint="default"/>
        <w:b w:val="0"/>
        <w:i w:val="0"/>
        <w:color w:val="0080FF"/>
        <w:sz w:val="10"/>
      </w:rPr>
    </w:lvl>
    <w:lvl w:ilvl="1" w:tplc="2C6ECA2A">
      <w:start w:val="1"/>
      <w:numFmt w:val="decimal"/>
      <w:lvlText w:val=""/>
      <w:lvlJc w:val="left"/>
    </w:lvl>
    <w:lvl w:ilvl="2" w:tplc="33325ADA">
      <w:start w:val="1"/>
      <w:numFmt w:val="decimal"/>
      <w:lvlText w:val=""/>
      <w:lvlJc w:val="left"/>
    </w:lvl>
    <w:lvl w:ilvl="3" w:tplc="BFE08388">
      <w:start w:val="1"/>
      <w:numFmt w:val="decimal"/>
      <w:lvlText w:val=""/>
      <w:lvlJc w:val="left"/>
    </w:lvl>
    <w:lvl w:ilvl="4" w:tplc="9E244C6E">
      <w:start w:val="1"/>
      <w:numFmt w:val="decimal"/>
      <w:lvlText w:val=""/>
      <w:lvlJc w:val="left"/>
    </w:lvl>
    <w:lvl w:ilvl="5" w:tplc="B1A20A18">
      <w:start w:val="1"/>
      <w:numFmt w:val="decimal"/>
      <w:lvlText w:val=""/>
      <w:lvlJc w:val="left"/>
    </w:lvl>
    <w:lvl w:ilvl="6" w:tplc="82D224B8">
      <w:start w:val="1"/>
      <w:numFmt w:val="decimal"/>
      <w:lvlText w:val=""/>
      <w:lvlJc w:val="left"/>
    </w:lvl>
    <w:lvl w:ilvl="7" w:tplc="EB5270EC">
      <w:start w:val="1"/>
      <w:numFmt w:val="decimal"/>
      <w:lvlText w:val=""/>
      <w:lvlJc w:val="left"/>
    </w:lvl>
    <w:lvl w:ilvl="8" w:tplc="86AE5B6C">
      <w:start w:val="1"/>
      <w:numFmt w:val="decimal"/>
      <w:lvlText w:val=""/>
      <w:lvlJc w:val="left"/>
    </w:lvl>
  </w:abstractNum>
  <w:num w:numId="1" w16cid:durableId="1877739487">
    <w:abstractNumId w:val="2"/>
  </w:num>
  <w:num w:numId="2" w16cid:durableId="62488423">
    <w:abstractNumId w:val="8"/>
  </w:num>
  <w:num w:numId="3" w16cid:durableId="424763768">
    <w:abstractNumId w:val="9"/>
  </w:num>
  <w:num w:numId="4" w16cid:durableId="1145470025">
    <w:abstractNumId w:val="17"/>
  </w:num>
  <w:num w:numId="5" w16cid:durableId="1477644111">
    <w:abstractNumId w:val="13"/>
  </w:num>
  <w:num w:numId="6" w16cid:durableId="1173103142">
    <w:abstractNumId w:val="0"/>
  </w:num>
  <w:num w:numId="7" w16cid:durableId="160240675">
    <w:abstractNumId w:val="3"/>
  </w:num>
  <w:num w:numId="8" w16cid:durableId="205684480">
    <w:abstractNumId w:val="12"/>
  </w:num>
  <w:num w:numId="9" w16cid:durableId="930432293">
    <w:abstractNumId w:val="18"/>
  </w:num>
  <w:num w:numId="10" w16cid:durableId="1862744365">
    <w:abstractNumId w:val="16"/>
  </w:num>
  <w:num w:numId="11" w16cid:durableId="1076366932">
    <w:abstractNumId w:val="20"/>
  </w:num>
  <w:num w:numId="12" w16cid:durableId="1972326915">
    <w:abstractNumId w:val="15"/>
  </w:num>
  <w:num w:numId="13" w16cid:durableId="802383519">
    <w:abstractNumId w:val="7"/>
  </w:num>
  <w:num w:numId="14" w16cid:durableId="602342433">
    <w:abstractNumId w:val="21"/>
  </w:num>
  <w:num w:numId="15" w16cid:durableId="1446195308">
    <w:abstractNumId w:val="5"/>
  </w:num>
  <w:num w:numId="16" w16cid:durableId="475689458">
    <w:abstractNumId w:val="10"/>
  </w:num>
  <w:num w:numId="17" w16cid:durableId="75178663">
    <w:abstractNumId w:val="4"/>
  </w:num>
  <w:num w:numId="18" w16cid:durableId="700545253">
    <w:abstractNumId w:val="11"/>
  </w:num>
  <w:num w:numId="19" w16cid:durableId="1467119472">
    <w:abstractNumId w:val="6"/>
  </w:num>
  <w:num w:numId="20" w16cid:durableId="720133876">
    <w:abstractNumId w:val="14"/>
  </w:num>
  <w:num w:numId="21" w16cid:durableId="1790126144">
    <w:abstractNumId w:val="1"/>
  </w:num>
  <w:num w:numId="22" w16cid:durableId="8981561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TrueTypeFonts/>
  <w:saveSubsetFonts/>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6D14"/>
    <w:rsid w:val="00000A97"/>
    <w:rsid w:val="000019C0"/>
    <w:rsid w:val="00007EC2"/>
    <w:rsid w:val="00015BB2"/>
    <w:rsid w:val="00017793"/>
    <w:rsid w:val="00017E28"/>
    <w:rsid w:val="00022A14"/>
    <w:rsid w:val="00022CA5"/>
    <w:rsid w:val="00030B2A"/>
    <w:rsid w:val="00032637"/>
    <w:rsid w:val="00036EE6"/>
    <w:rsid w:val="00041FD3"/>
    <w:rsid w:val="000508AD"/>
    <w:rsid w:val="00053557"/>
    <w:rsid w:val="00063F66"/>
    <w:rsid w:val="000676BD"/>
    <w:rsid w:val="000678DB"/>
    <w:rsid w:val="00070C87"/>
    <w:rsid w:val="00077CDF"/>
    <w:rsid w:val="000806C4"/>
    <w:rsid w:val="000836A0"/>
    <w:rsid w:val="000962A8"/>
    <w:rsid w:val="000B5D18"/>
    <w:rsid w:val="000D2401"/>
    <w:rsid w:val="000D2787"/>
    <w:rsid w:val="000D73B6"/>
    <w:rsid w:val="0010010A"/>
    <w:rsid w:val="00101D88"/>
    <w:rsid w:val="0010464F"/>
    <w:rsid w:val="0011292B"/>
    <w:rsid w:val="00117DB4"/>
    <w:rsid w:val="00124F0E"/>
    <w:rsid w:val="00125F9C"/>
    <w:rsid w:val="00126C74"/>
    <w:rsid w:val="00127F59"/>
    <w:rsid w:val="00131568"/>
    <w:rsid w:val="00140415"/>
    <w:rsid w:val="00142612"/>
    <w:rsid w:val="00143523"/>
    <w:rsid w:val="00145284"/>
    <w:rsid w:val="00145EFA"/>
    <w:rsid w:val="00147E90"/>
    <w:rsid w:val="00152FF4"/>
    <w:rsid w:val="0015319E"/>
    <w:rsid w:val="001541BF"/>
    <w:rsid w:val="00155852"/>
    <w:rsid w:val="00160D33"/>
    <w:rsid w:val="0016178F"/>
    <w:rsid w:val="001816D0"/>
    <w:rsid w:val="00192BF0"/>
    <w:rsid w:val="001A07E6"/>
    <w:rsid w:val="001A48E9"/>
    <w:rsid w:val="001B4E0D"/>
    <w:rsid w:val="001D6BEC"/>
    <w:rsid w:val="001E197E"/>
    <w:rsid w:val="001E4471"/>
    <w:rsid w:val="001F2F14"/>
    <w:rsid w:val="001F2FB7"/>
    <w:rsid w:val="00200394"/>
    <w:rsid w:val="00204789"/>
    <w:rsid w:val="002077B9"/>
    <w:rsid w:val="00210CF8"/>
    <w:rsid w:val="00216240"/>
    <w:rsid w:val="002169F3"/>
    <w:rsid w:val="00220050"/>
    <w:rsid w:val="0022047E"/>
    <w:rsid w:val="0024099F"/>
    <w:rsid w:val="00244CDC"/>
    <w:rsid w:val="00253122"/>
    <w:rsid w:val="0025484F"/>
    <w:rsid w:val="00254B08"/>
    <w:rsid w:val="00256537"/>
    <w:rsid w:val="00257344"/>
    <w:rsid w:val="00260C4F"/>
    <w:rsid w:val="00261F14"/>
    <w:rsid w:val="00262AA1"/>
    <w:rsid w:val="00265B7A"/>
    <w:rsid w:val="002667C4"/>
    <w:rsid w:val="00281FAB"/>
    <w:rsid w:val="00282EE3"/>
    <w:rsid w:val="00290387"/>
    <w:rsid w:val="002944C6"/>
    <w:rsid w:val="002A130C"/>
    <w:rsid w:val="002C1D47"/>
    <w:rsid w:val="002C1FDB"/>
    <w:rsid w:val="002C5F7E"/>
    <w:rsid w:val="002C6D14"/>
    <w:rsid w:val="002D27C3"/>
    <w:rsid w:val="002D4ABC"/>
    <w:rsid w:val="002E3DAC"/>
    <w:rsid w:val="002E73A3"/>
    <w:rsid w:val="002F0670"/>
    <w:rsid w:val="002F236A"/>
    <w:rsid w:val="002F3488"/>
    <w:rsid w:val="00300324"/>
    <w:rsid w:val="00303220"/>
    <w:rsid w:val="0030725C"/>
    <w:rsid w:val="003125E6"/>
    <w:rsid w:val="003434B5"/>
    <w:rsid w:val="00344C6A"/>
    <w:rsid w:val="00347D9D"/>
    <w:rsid w:val="003613A5"/>
    <w:rsid w:val="00362FB9"/>
    <w:rsid w:val="00367EDF"/>
    <w:rsid w:val="00371BFB"/>
    <w:rsid w:val="00376291"/>
    <w:rsid w:val="0037684C"/>
    <w:rsid w:val="0038492C"/>
    <w:rsid w:val="00385138"/>
    <w:rsid w:val="003902D8"/>
    <w:rsid w:val="003907B3"/>
    <w:rsid w:val="0039446D"/>
    <w:rsid w:val="003A40C7"/>
    <w:rsid w:val="003A46C3"/>
    <w:rsid w:val="003A7EE0"/>
    <w:rsid w:val="003B07B0"/>
    <w:rsid w:val="003B0B51"/>
    <w:rsid w:val="003B5FBB"/>
    <w:rsid w:val="003C25B2"/>
    <w:rsid w:val="003E092E"/>
    <w:rsid w:val="003E1906"/>
    <w:rsid w:val="003E227C"/>
    <w:rsid w:val="003E595E"/>
    <w:rsid w:val="003E7122"/>
    <w:rsid w:val="003F5273"/>
    <w:rsid w:val="003F5E33"/>
    <w:rsid w:val="003F76B8"/>
    <w:rsid w:val="004036F0"/>
    <w:rsid w:val="00405D1C"/>
    <w:rsid w:val="00407886"/>
    <w:rsid w:val="004116BD"/>
    <w:rsid w:val="00411808"/>
    <w:rsid w:val="004157BF"/>
    <w:rsid w:val="00417D6F"/>
    <w:rsid w:val="00417ECE"/>
    <w:rsid w:val="00424F7D"/>
    <w:rsid w:val="004324BC"/>
    <w:rsid w:val="0044592A"/>
    <w:rsid w:val="00453E72"/>
    <w:rsid w:val="00453F3A"/>
    <w:rsid w:val="004547CC"/>
    <w:rsid w:val="0045780E"/>
    <w:rsid w:val="00467795"/>
    <w:rsid w:val="004720CE"/>
    <w:rsid w:val="0047563B"/>
    <w:rsid w:val="0048028A"/>
    <w:rsid w:val="004863AD"/>
    <w:rsid w:val="00490CFB"/>
    <w:rsid w:val="004920CB"/>
    <w:rsid w:val="00492BAF"/>
    <w:rsid w:val="0049510E"/>
    <w:rsid w:val="004B51F0"/>
    <w:rsid w:val="004C3C89"/>
    <w:rsid w:val="004C6133"/>
    <w:rsid w:val="004C78FF"/>
    <w:rsid w:val="004D3288"/>
    <w:rsid w:val="004D49B9"/>
    <w:rsid w:val="004D5C3A"/>
    <w:rsid w:val="004F16BF"/>
    <w:rsid w:val="004F2050"/>
    <w:rsid w:val="00500560"/>
    <w:rsid w:val="00501378"/>
    <w:rsid w:val="0050324F"/>
    <w:rsid w:val="005129F2"/>
    <w:rsid w:val="00516813"/>
    <w:rsid w:val="00516FFE"/>
    <w:rsid w:val="00522705"/>
    <w:rsid w:val="00527724"/>
    <w:rsid w:val="0052790B"/>
    <w:rsid w:val="005319DF"/>
    <w:rsid w:val="00531FB5"/>
    <w:rsid w:val="005456D1"/>
    <w:rsid w:val="005627C4"/>
    <w:rsid w:val="00562F93"/>
    <w:rsid w:val="00566A7B"/>
    <w:rsid w:val="00572DDD"/>
    <w:rsid w:val="00574023"/>
    <w:rsid w:val="00577983"/>
    <w:rsid w:val="00581AD6"/>
    <w:rsid w:val="005871EB"/>
    <w:rsid w:val="00587356"/>
    <w:rsid w:val="00596108"/>
    <w:rsid w:val="005C05B7"/>
    <w:rsid w:val="005D18EF"/>
    <w:rsid w:val="005D7650"/>
    <w:rsid w:val="005E363C"/>
    <w:rsid w:val="005E6D7E"/>
    <w:rsid w:val="006011A6"/>
    <w:rsid w:val="0061565F"/>
    <w:rsid w:val="00625753"/>
    <w:rsid w:val="00631018"/>
    <w:rsid w:val="00631E47"/>
    <w:rsid w:val="00635F32"/>
    <w:rsid w:val="0063792A"/>
    <w:rsid w:val="006401AC"/>
    <w:rsid w:val="006428A2"/>
    <w:rsid w:val="00644F08"/>
    <w:rsid w:val="00670432"/>
    <w:rsid w:val="006704DB"/>
    <w:rsid w:val="00673F0A"/>
    <w:rsid w:val="00674E72"/>
    <w:rsid w:val="00695E4B"/>
    <w:rsid w:val="006A076B"/>
    <w:rsid w:val="006A0D3F"/>
    <w:rsid w:val="006A337A"/>
    <w:rsid w:val="006B184B"/>
    <w:rsid w:val="006B5561"/>
    <w:rsid w:val="006B6182"/>
    <w:rsid w:val="006C7B33"/>
    <w:rsid w:val="006D73EA"/>
    <w:rsid w:val="006E105C"/>
    <w:rsid w:val="006E209B"/>
    <w:rsid w:val="006E2DEF"/>
    <w:rsid w:val="006F0564"/>
    <w:rsid w:val="006F4245"/>
    <w:rsid w:val="006F53DA"/>
    <w:rsid w:val="007032A9"/>
    <w:rsid w:val="00703C13"/>
    <w:rsid w:val="00704A24"/>
    <w:rsid w:val="00713124"/>
    <w:rsid w:val="00720B73"/>
    <w:rsid w:val="00721C5E"/>
    <w:rsid w:val="00737B27"/>
    <w:rsid w:val="007440D8"/>
    <w:rsid w:val="007445D8"/>
    <w:rsid w:val="007504BD"/>
    <w:rsid w:val="00751A99"/>
    <w:rsid w:val="0075226C"/>
    <w:rsid w:val="00780185"/>
    <w:rsid w:val="00786364"/>
    <w:rsid w:val="007966BB"/>
    <w:rsid w:val="00796CFA"/>
    <w:rsid w:val="0079767E"/>
    <w:rsid w:val="007A2126"/>
    <w:rsid w:val="007A7ACA"/>
    <w:rsid w:val="007B0F05"/>
    <w:rsid w:val="007B1977"/>
    <w:rsid w:val="007B1D9A"/>
    <w:rsid w:val="007B71C2"/>
    <w:rsid w:val="007B7C5A"/>
    <w:rsid w:val="007C3B65"/>
    <w:rsid w:val="007C6C2A"/>
    <w:rsid w:val="007D2F50"/>
    <w:rsid w:val="007D31AA"/>
    <w:rsid w:val="007D51F3"/>
    <w:rsid w:val="007E196D"/>
    <w:rsid w:val="007E1F16"/>
    <w:rsid w:val="007E2BE9"/>
    <w:rsid w:val="007E2C01"/>
    <w:rsid w:val="007F444C"/>
    <w:rsid w:val="007F5B5E"/>
    <w:rsid w:val="008004A2"/>
    <w:rsid w:val="0080074C"/>
    <w:rsid w:val="00803343"/>
    <w:rsid w:val="00805ED1"/>
    <w:rsid w:val="00811C8B"/>
    <w:rsid w:val="00826F73"/>
    <w:rsid w:val="008341E9"/>
    <w:rsid w:val="00842F04"/>
    <w:rsid w:val="00847F95"/>
    <w:rsid w:val="00852C94"/>
    <w:rsid w:val="008537F4"/>
    <w:rsid w:val="00856A04"/>
    <w:rsid w:val="0085796D"/>
    <w:rsid w:val="00864890"/>
    <w:rsid w:val="00867362"/>
    <w:rsid w:val="00867B80"/>
    <w:rsid w:val="00892B72"/>
    <w:rsid w:val="00896BE7"/>
    <w:rsid w:val="008973A5"/>
    <w:rsid w:val="008A6E8D"/>
    <w:rsid w:val="008B1C74"/>
    <w:rsid w:val="008B446E"/>
    <w:rsid w:val="008C0994"/>
    <w:rsid w:val="008C227B"/>
    <w:rsid w:val="008D6BA0"/>
    <w:rsid w:val="008D7DEF"/>
    <w:rsid w:val="008E6157"/>
    <w:rsid w:val="008F2694"/>
    <w:rsid w:val="008F5753"/>
    <w:rsid w:val="008F672F"/>
    <w:rsid w:val="008F7A92"/>
    <w:rsid w:val="00902091"/>
    <w:rsid w:val="00906A68"/>
    <w:rsid w:val="00930338"/>
    <w:rsid w:val="00933481"/>
    <w:rsid w:val="009346EC"/>
    <w:rsid w:val="00945051"/>
    <w:rsid w:val="009451CA"/>
    <w:rsid w:val="009550E0"/>
    <w:rsid w:val="00974386"/>
    <w:rsid w:val="009846CA"/>
    <w:rsid w:val="009A5D89"/>
    <w:rsid w:val="009A61DD"/>
    <w:rsid w:val="009B6123"/>
    <w:rsid w:val="009C0F8A"/>
    <w:rsid w:val="009C1C2B"/>
    <w:rsid w:val="009D5DBF"/>
    <w:rsid w:val="009D6A99"/>
    <w:rsid w:val="009E21EE"/>
    <w:rsid w:val="00A00026"/>
    <w:rsid w:val="00A00D88"/>
    <w:rsid w:val="00A0354A"/>
    <w:rsid w:val="00A159D2"/>
    <w:rsid w:val="00A159DC"/>
    <w:rsid w:val="00A17087"/>
    <w:rsid w:val="00A20498"/>
    <w:rsid w:val="00A40DEF"/>
    <w:rsid w:val="00A44414"/>
    <w:rsid w:val="00A466F4"/>
    <w:rsid w:val="00A64003"/>
    <w:rsid w:val="00A64100"/>
    <w:rsid w:val="00A6583B"/>
    <w:rsid w:val="00A661D4"/>
    <w:rsid w:val="00A751A8"/>
    <w:rsid w:val="00A80421"/>
    <w:rsid w:val="00A83915"/>
    <w:rsid w:val="00A86A82"/>
    <w:rsid w:val="00A9405E"/>
    <w:rsid w:val="00A9479E"/>
    <w:rsid w:val="00A94BE5"/>
    <w:rsid w:val="00A961BC"/>
    <w:rsid w:val="00AA3B93"/>
    <w:rsid w:val="00AA573E"/>
    <w:rsid w:val="00AB0D2A"/>
    <w:rsid w:val="00AB290E"/>
    <w:rsid w:val="00AB360C"/>
    <w:rsid w:val="00AB43B2"/>
    <w:rsid w:val="00AB724C"/>
    <w:rsid w:val="00AC3570"/>
    <w:rsid w:val="00AC5240"/>
    <w:rsid w:val="00AC5ACF"/>
    <w:rsid w:val="00AC5DBA"/>
    <w:rsid w:val="00AD02D4"/>
    <w:rsid w:val="00AD4D1C"/>
    <w:rsid w:val="00AD7A8D"/>
    <w:rsid w:val="00AF3CC1"/>
    <w:rsid w:val="00AF5965"/>
    <w:rsid w:val="00B00A79"/>
    <w:rsid w:val="00B07BDF"/>
    <w:rsid w:val="00B07BE9"/>
    <w:rsid w:val="00B17586"/>
    <w:rsid w:val="00B21D48"/>
    <w:rsid w:val="00B2225C"/>
    <w:rsid w:val="00B27339"/>
    <w:rsid w:val="00B30D23"/>
    <w:rsid w:val="00B316C4"/>
    <w:rsid w:val="00B3260A"/>
    <w:rsid w:val="00B33135"/>
    <w:rsid w:val="00B60420"/>
    <w:rsid w:val="00B66851"/>
    <w:rsid w:val="00B77B2C"/>
    <w:rsid w:val="00B830B8"/>
    <w:rsid w:val="00B92B8F"/>
    <w:rsid w:val="00B93F9A"/>
    <w:rsid w:val="00B95586"/>
    <w:rsid w:val="00B964AD"/>
    <w:rsid w:val="00B96F31"/>
    <w:rsid w:val="00BA297D"/>
    <w:rsid w:val="00BA35EC"/>
    <w:rsid w:val="00BA769A"/>
    <w:rsid w:val="00BA76A1"/>
    <w:rsid w:val="00BC4A36"/>
    <w:rsid w:val="00BC5EDB"/>
    <w:rsid w:val="00BC5F1F"/>
    <w:rsid w:val="00BD3758"/>
    <w:rsid w:val="00BD4373"/>
    <w:rsid w:val="00BD4C87"/>
    <w:rsid w:val="00BD53EC"/>
    <w:rsid w:val="00BD5FE3"/>
    <w:rsid w:val="00BE0070"/>
    <w:rsid w:val="00BE1F88"/>
    <w:rsid w:val="00BE6C20"/>
    <w:rsid w:val="00BE7F89"/>
    <w:rsid w:val="00C03CDF"/>
    <w:rsid w:val="00C070ED"/>
    <w:rsid w:val="00C21163"/>
    <w:rsid w:val="00C21AA9"/>
    <w:rsid w:val="00C2467B"/>
    <w:rsid w:val="00C24AAF"/>
    <w:rsid w:val="00C54994"/>
    <w:rsid w:val="00C549FD"/>
    <w:rsid w:val="00C55638"/>
    <w:rsid w:val="00C57DF0"/>
    <w:rsid w:val="00C63F54"/>
    <w:rsid w:val="00C65D9A"/>
    <w:rsid w:val="00C80983"/>
    <w:rsid w:val="00C93D3E"/>
    <w:rsid w:val="00CA382B"/>
    <w:rsid w:val="00CA69BA"/>
    <w:rsid w:val="00CB03A1"/>
    <w:rsid w:val="00CB466B"/>
    <w:rsid w:val="00CC2941"/>
    <w:rsid w:val="00CD1E9C"/>
    <w:rsid w:val="00CD70D2"/>
    <w:rsid w:val="00CE116B"/>
    <w:rsid w:val="00CE233F"/>
    <w:rsid w:val="00CE794F"/>
    <w:rsid w:val="00CF68CB"/>
    <w:rsid w:val="00D00F78"/>
    <w:rsid w:val="00D07C81"/>
    <w:rsid w:val="00D12968"/>
    <w:rsid w:val="00D13378"/>
    <w:rsid w:val="00D13C8E"/>
    <w:rsid w:val="00D155A3"/>
    <w:rsid w:val="00D17AB8"/>
    <w:rsid w:val="00D2522D"/>
    <w:rsid w:val="00D41AA0"/>
    <w:rsid w:val="00D459B8"/>
    <w:rsid w:val="00D50104"/>
    <w:rsid w:val="00D56F33"/>
    <w:rsid w:val="00D63CA0"/>
    <w:rsid w:val="00D678EE"/>
    <w:rsid w:val="00D76965"/>
    <w:rsid w:val="00D85FD2"/>
    <w:rsid w:val="00D91FE5"/>
    <w:rsid w:val="00D937A3"/>
    <w:rsid w:val="00DA5794"/>
    <w:rsid w:val="00DA5799"/>
    <w:rsid w:val="00DA6C48"/>
    <w:rsid w:val="00DA7564"/>
    <w:rsid w:val="00DB0375"/>
    <w:rsid w:val="00DB0A1E"/>
    <w:rsid w:val="00DB0E86"/>
    <w:rsid w:val="00DC2A12"/>
    <w:rsid w:val="00DC36C1"/>
    <w:rsid w:val="00DC700E"/>
    <w:rsid w:val="00DE1A21"/>
    <w:rsid w:val="00DE6B5C"/>
    <w:rsid w:val="00DE7680"/>
    <w:rsid w:val="00DF18F4"/>
    <w:rsid w:val="00DF3DE6"/>
    <w:rsid w:val="00DF5BBF"/>
    <w:rsid w:val="00DF5E6D"/>
    <w:rsid w:val="00DF73DB"/>
    <w:rsid w:val="00DF7ED9"/>
    <w:rsid w:val="00E03692"/>
    <w:rsid w:val="00E17C70"/>
    <w:rsid w:val="00E35FAA"/>
    <w:rsid w:val="00E525DD"/>
    <w:rsid w:val="00E5732D"/>
    <w:rsid w:val="00E60936"/>
    <w:rsid w:val="00E60A82"/>
    <w:rsid w:val="00E612BC"/>
    <w:rsid w:val="00E757DA"/>
    <w:rsid w:val="00E778FF"/>
    <w:rsid w:val="00E8672F"/>
    <w:rsid w:val="00E86A12"/>
    <w:rsid w:val="00E9186E"/>
    <w:rsid w:val="00E9474D"/>
    <w:rsid w:val="00E958EA"/>
    <w:rsid w:val="00E96F50"/>
    <w:rsid w:val="00EA179A"/>
    <w:rsid w:val="00EC25B2"/>
    <w:rsid w:val="00EC77FC"/>
    <w:rsid w:val="00ED6A16"/>
    <w:rsid w:val="00EE0E7A"/>
    <w:rsid w:val="00EE1789"/>
    <w:rsid w:val="00EE3596"/>
    <w:rsid w:val="00EE77B1"/>
    <w:rsid w:val="00EE7D01"/>
    <w:rsid w:val="00EF0F80"/>
    <w:rsid w:val="00EF17AD"/>
    <w:rsid w:val="00EF39BC"/>
    <w:rsid w:val="00F04D1E"/>
    <w:rsid w:val="00F10099"/>
    <w:rsid w:val="00F161B9"/>
    <w:rsid w:val="00F17517"/>
    <w:rsid w:val="00F25132"/>
    <w:rsid w:val="00F26215"/>
    <w:rsid w:val="00F3061A"/>
    <w:rsid w:val="00F3711F"/>
    <w:rsid w:val="00F47598"/>
    <w:rsid w:val="00F478F9"/>
    <w:rsid w:val="00F54A2B"/>
    <w:rsid w:val="00F6035C"/>
    <w:rsid w:val="00F648EC"/>
    <w:rsid w:val="00F90531"/>
    <w:rsid w:val="00F947D5"/>
    <w:rsid w:val="00FB088C"/>
    <w:rsid w:val="00FB42F5"/>
    <w:rsid w:val="00FC46E3"/>
    <w:rsid w:val="00FC4819"/>
    <w:rsid w:val="00FD67EF"/>
    <w:rsid w:val="00FD724A"/>
    <w:rsid w:val="00FE197F"/>
    <w:rsid w:val="00FE44B7"/>
    <w:rsid w:val="00FF6D53"/>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B30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table" w:customStyle="1" w:styleId="content-table">
    <w:name w:val="content-table"/>
    <w:basedOn w:val="TableNormal"/>
    <w:tblPr/>
  </w:style>
  <w:style w:type="table" w:customStyle="1" w:styleId="main-table">
    <w:name w:val="main-table"/>
    <w:basedOn w:val="TableNormal"/>
    <w:tblPr/>
  </w:style>
  <w:style w:type="character" w:styleId="Hyperlink">
    <w:name w:val="Hyperlink"/>
    <w:basedOn w:val="DefaultParagraphFont"/>
    <w:uiPriority w:val="99"/>
    <w:unhideWhenUsed/>
    <w:rsid w:val="00DE7680"/>
    <w:rPr>
      <w:color w:val="0000FF" w:themeColor="hyperlink"/>
      <w:u w:val="single"/>
    </w:rPr>
  </w:style>
  <w:style w:type="character" w:customStyle="1" w:styleId="UnresolvedMention1">
    <w:name w:val="Unresolved Mention1"/>
    <w:basedOn w:val="DefaultParagraphFont"/>
    <w:uiPriority w:val="99"/>
    <w:semiHidden/>
    <w:unhideWhenUsed/>
    <w:rsid w:val="00DE7680"/>
    <w:rPr>
      <w:color w:val="605E5C"/>
      <w:shd w:val="clear" w:color="auto" w:fill="E1DFDD"/>
    </w:rPr>
  </w:style>
  <w:style w:type="character" w:styleId="FollowedHyperlink">
    <w:name w:val="FollowedHyperlink"/>
    <w:basedOn w:val="DefaultParagraphFont"/>
    <w:uiPriority w:val="99"/>
    <w:semiHidden/>
    <w:unhideWhenUsed/>
    <w:rsid w:val="005E363C"/>
    <w:rPr>
      <w:color w:val="800080" w:themeColor="followedHyperlink"/>
      <w:u w:val="single"/>
    </w:rPr>
  </w:style>
  <w:style w:type="paragraph" w:styleId="Header">
    <w:name w:val="header"/>
    <w:basedOn w:val="Normal"/>
    <w:link w:val="HeaderChar"/>
    <w:uiPriority w:val="99"/>
    <w:unhideWhenUsed/>
    <w:rsid w:val="005E363C"/>
    <w:pPr>
      <w:tabs>
        <w:tab w:val="center" w:pos="4680"/>
        <w:tab w:val="right" w:pos="9360"/>
      </w:tabs>
    </w:pPr>
  </w:style>
  <w:style w:type="character" w:customStyle="1" w:styleId="HeaderChar">
    <w:name w:val="Header Char"/>
    <w:basedOn w:val="DefaultParagraphFont"/>
    <w:link w:val="Header"/>
    <w:uiPriority w:val="99"/>
    <w:rsid w:val="005E363C"/>
    <w:rPr>
      <w:sz w:val="24"/>
      <w:szCs w:val="24"/>
    </w:rPr>
  </w:style>
  <w:style w:type="paragraph" w:styleId="Footer">
    <w:name w:val="footer"/>
    <w:basedOn w:val="Normal"/>
    <w:link w:val="FooterChar"/>
    <w:uiPriority w:val="99"/>
    <w:unhideWhenUsed/>
    <w:rsid w:val="005E363C"/>
    <w:pPr>
      <w:tabs>
        <w:tab w:val="center" w:pos="4680"/>
        <w:tab w:val="right" w:pos="9360"/>
      </w:tabs>
    </w:pPr>
  </w:style>
  <w:style w:type="character" w:customStyle="1" w:styleId="FooterChar">
    <w:name w:val="Footer Char"/>
    <w:basedOn w:val="DefaultParagraphFont"/>
    <w:link w:val="Footer"/>
    <w:uiPriority w:val="99"/>
    <w:rsid w:val="005E363C"/>
    <w:rPr>
      <w:sz w:val="24"/>
      <w:szCs w:val="24"/>
    </w:rPr>
  </w:style>
  <w:style w:type="paragraph" w:customStyle="1" w:styleId="FontBig">
    <w:name w:val="FontBig"/>
    <w:rsid w:val="00892B72"/>
    <w:pPr>
      <w:spacing w:line="220" w:lineRule="exact"/>
      <w:jc w:val="both"/>
    </w:pPr>
    <w:rPr>
      <w:rFonts w:ascii="Helvetica" w:eastAsia="Helvetica" w:hAnsi="Helvetica" w:cs="Helvetica"/>
      <w:color w:val="59595B"/>
      <w:sz w:val="16"/>
    </w:rPr>
  </w:style>
  <w:style w:type="paragraph" w:customStyle="1" w:styleId="Normal8pt">
    <w:name w:val="Normal_8pt"/>
    <w:rsid w:val="00892B72"/>
    <w:pPr>
      <w:spacing w:line="160" w:lineRule="exact"/>
    </w:pPr>
    <w:rPr>
      <w:rFonts w:ascii="Helvetica" w:eastAsia="Helvetica" w:hAnsi="Helvetica" w:cs="Helvetica"/>
      <w:sz w:val="16"/>
    </w:rPr>
  </w:style>
  <w:style w:type="paragraph" w:customStyle="1" w:styleId="BulletedListBlueLeftPadNoJustifyListBodyBlackListItem">
    <w:name w:val="BulletedListBlueLeftPadNoJustifyListBody_BlackListItem"/>
    <w:basedOn w:val="Normal"/>
    <w:rsid w:val="00892B72"/>
    <w:pPr>
      <w:spacing w:after="60" w:line="200" w:lineRule="exact"/>
    </w:pPr>
    <w:rPr>
      <w:rFonts w:ascii="Helvetica" w:eastAsia="Helvetica" w:hAnsi="Helvetica" w:cs="Helvetica"/>
      <w:color w:val="59595B"/>
      <w:sz w:val="16"/>
      <w:szCs w:val="20"/>
    </w:rPr>
  </w:style>
  <w:style w:type="paragraph" w:customStyle="1" w:styleId="FontBodyRegularJustify">
    <w:name w:val="FontBodyRegularJustify"/>
    <w:rsid w:val="00145284"/>
    <w:pPr>
      <w:spacing w:line="220" w:lineRule="exact"/>
      <w:jc w:val="both"/>
    </w:pPr>
    <w:rPr>
      <w:rFonts w:ascii="Helvetica" w:eastAsia="Helvetica" w:hAnsi="Helvetica" w:cs="Helvetica"/>
      <w:color w:val="59595B"/>
      <w:sz w:val="16"/>
    </w:rPr>
  </w:style>
  <w:style w:type="paragraph" w:customStyle="1" w:styleId="FontBodyRegularNoJustify">
    <w:name w:val="FontBodyRegularNoJustify"/>
    <w:rsid w:val="00145284"/>
    <w:pPr>
      <w:spacing w:line="220" w:lineRule="exact"/>
    </w:pPr>
    <w:rPr>
      <w:rFonts w:ascii="Helvetica" w:eastAsia="Helvetica" w:hAnsi="Helvetica" w:cs="Helvetica"/>
      <w:color w:val="59595B"/>
      <w:sz w:val="16"/>
    </w:rPr>
  </w:style>
  <w:style w:type="character" w:customStyle="1" w:styleId="GreyDarkerbody">
    <w:name w:val="GreyDarker_body"/>
    <w:rsid w:val="001541BF"/>
    <w:rPr>
      <w:color w:val="59595B"/>
    </w:rPr>
  </w:style>
  <w:style w:type="paragraph" w:customStyle="1" w:styleId="BulletedListBlueNoJustifyListBodyGrey2ListItem">
    <w:name w:val="BulletedListBlue_NoJustifyListBody_Grey_2ListItem"/>
    <w:basedOn w:val="Normal"/>
    <w:rsid w:val="001541BF"/>
    <w:pPr>
      <w:spacing w:after="60" w:line="200" w:lineRule="exact"/>
    </w:pPr>
    <w:rPr>
      <w:rFonts w:ascii="Helvetica" w:eastAsia="Helvetica" w:hAnsi="Helvetica" w:cs="Helvetica"/>
      <w:color w:val="58595B"/>
      <w:sz w:val="16"/>
      <w:szCs w:val="20"/>
    </w:rPr>
  </w:style>
  <w:style w:type="character" w:styleId="SubtleEmphasis">
    <w:name w:val="Subtle Emphasis"/>
    <w:basedOn w:val="DefaultParagraphFont"/>
    <w:uiPriority w:val="19"/>
    <w:semiHidden/>
    <w:qFormat/>
    <w:rsid w:val="00200394"/>
    <w:rPr>
      <w:i/>
      <w:iCs/>
      <w:color w:val="404040" w:themeColor="text1" w:themeTint="BF"/>
    </w:rPr>
  </w:style>
  <w:style w:type="character" w:styleId="Emphasis">
    <w:name w:val="Emphasis"/>
    <w:basedOn w:val="DefaultParagraphFont"/>
    <w:uiPriority w:val="20"/>
    <w:semiHidden/>
    <w:qFormat/>
    <w:rsid w:val="00200394"/>
    <w:rPr>
      <w:i/>
      <w:iCs/>
    </w:rPr>
  </w:style>
  <w:style w:type="character" w:styleId="IntenseEmphasis">
    <w:name w:val="Intense Emphasis"/>
    <w:basedOn w:val="DefaultParagraphFont"/>
    <w:uiPriority w:val="21"/>
    <w:semiHidden/>
    <w:qFormat/>
    <w:rsid w:val="00200394"/>
    <w:rPr>
      <w:i/>
      <w:iCs/>
      <w:color w:val="4F81BD" w:themeColor="accent1"/>
    </w:rPr>
  </w:style>
  <w:style w:type="character" w:styleId="Strong">
    <w:name w:val="Strong"/>
    <w:basedOn w:val="DefaultParagraphFont"/>
    <w:uiPriority w:val="22"/>
    <w:semiHidden/>
    <w:qFormat/>
    <w:rsid w:val="00200394"/>
    <w:rPr>
      <w:b/>
      <w:bCs/>
    </w:rPr>
  </w:style>
  <w:style w:type="paragraph" w:styleId="Quote">
    <w:name w:val="Quote"/>
    <w:basedOn w:val="Normal"/>
    <w:next w:val="Normal"/>
    <w:link w:val="QuoteChar"/>
    <w:uiPriority w:val="29"/>
    <w:semiHidden/>
    <w:qFormat/>
    <w:rsid w:val="0020039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0394"/>
    <w:rPr>
      <w:i/>
      <w:iCs/>
      <w:color w:val="404040" w:themeColor="text1" w:themeTint="BF"/>
      <w:sz w:val="24"/>
      <w:szCs w:val="24"/>
    </w:rPr>
  </w:style>
  <w:style w:type="paragraph" w:styleId="IntenseQuote">
    <w:name w:val="Intense Quote"/>
    <w:basedOn w:val="Normal"/>
    <w:next w:val="Normal"/>
    <w:link w:val="IntenseQuoteChar"/>
    <w:uiPriority w:val="30"/>
    <w:semiHidden/>
    <w:qFormat/>
    <w:rsid w:val="00200394"/>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200394"/>
    <w:rPr>
      <w:i/>
      <w:iCs/>
      <w:color w:val="4F81BD" w:themeColor="accent1"/>
      <w:sz w:val="24"/>
      <w:szCs w:val="24"/>
    </w:rPr>
  </w:style>
  <w:style w:type="character" w:styleId="SubtleReference">
    <w:name w:val="Subtle Reference"/>
    <w:basedOn w:val="DefaultParagraphFont"/>
    <w:uiPriority w:val="31"/>
    <w:semiHidden/>
    <w:qFormat/>
    <w:rsid w:val="00200394"/>
    <w:rPr>
      <w:smallCaps/>
      <w:color w:val="5A5A5A" w:themeColor="text1" w:themeTint="A5"/>
    </w:rPr>
  </w:style>
  <w:style w:type="character" w:styleId="IntenseReference">
    <w:name w:val="Intense Reference"/>
    <w:basedOn w:val="DefaultParagraphFont"/>
    <w:uiPriority w:val="32"/>
    <w:semiHidden/>
    <w:qFormat/>
    <w:rsid w:val="00200394"/>
    <w:rPr>
      <w:b/>
      <w:bCs/>
      <w:smallCaps/>
      <w:color w:val="4F81BD" w:themeColor="accent1"/>
      <w:spacing w:val="5"/>
    </w:rPr>
  </w:style>
  <w:style w:type="character" w:styleId="BookTitle">
    <w:name w:val="Book Title"/>
    <w:basedOn w:val="DefaultParagraphFont"/>
    <w:uiPriority w:val="33"/>
    <w:semiHidden/>
    <w:qFormat/>
    <w:rsid w:val="00200394"/>
    <w:rPr>
      <w:b/>
      <w:bCs/>
      <w:i/>
      <w:iCs/>
      <w:spacing w:val="5"/>
    </w:rPr>
  </w:style>
  <w:style w:type="paragraph" w:styleId="ListParagraph">
    <w:name w:val="List Paragraph"/>
    <w:basedOn w:val="Normal"/>
    <w:uiPriority w:val="34"/>
    <w:semiHidden/>
    <w:qFormat/>
    <w:rsid w:val="00200394"/>
    <w:pPr>
      <w:ind w:left="720"/>
      <w:contextualSpacing/>
    </w:pPr>
  </w:style>
  <w:style w:type="paragraph" w:styleId="FootnoteText">
    <w:name w:val="footnote text"/>
    <w:basedOn w:val="Normal"/>
    <w:link w:val="FootnoteTextChar"/>
    <w:uiPriority w:val="99"/>
    <w:unhideWhenUsed/>
    <w:rsid w:val="0022047E"/>
    <w:rPr>
      <w:sz w:val="20"/>
      <w:szCs w:val="20"/>
    </w:rPr>
  </w:style>
  <w:style w:type="character" w:customStyle="1" w:styleId="FootnoteTextChar">
    <w:name w:val="Footnote Text Char"/>
    <w:basedOn w:val="DefaultParagraphFont"/>
    <w:link w:val="FootnoteText"/>
    <w:uiPriority w:val="99"/>
    <w:rsid w:val="0022047E"/>
  </w:style>
  <w:style w:type="character" w:styleId="FootnoteReference">
    <w:name w:val="footnote reference"/>
    <w:basedOn w:val="DefaultParagraphFont"/>
    <w:uiPriority w:val="99"/>
    <w:semiHidden/>
    <w:unhideWhenUsed/>
    <w:rsid w:val="0022047E"/>
    <w:rPr>
      <w:vertAlign w:val="superscript"/>
    </w:rPr>
  </w:style>
  <w:style w:type="character" w:customStyle="1" w:styleId="UnresolvedMention2">
    <w:name w:val="Unresolved Mention2"/>
    <w:basedOn w:val="DefaultParagraphFont"/>
    <w:uiPriority w:val="99"/>
    <w:semiHidden/>
    <w:unhideWhenUsed/>
    <w:rsid w:val="005129F2"/>
    <w:rPr>
      <w:color w:val="605E5C"/>
      <w:shd w:val="clear" w:color="auto" w:fill="E1DFDD"/>
    </w:rPr>
  </w:style>
  <w:style w:type="character" w:customStyle="1" w:styleId="Red">
    <w:name w:val="Red"/>
    <w:rsid w:val="00262AA1"/>
    <w:rPr>
      <w:color w:val="FF0000"/>
    </w:rPr>
  </w:style>
  <w:style w:type="paragraph" w:customStyle="1" w:styleId="FontSmallRedLeftGutter">
    <w:name w:val="FontSmall_RedLeftGutter"/>
    <w:rsid w:val="00262AA1"/>
    <w:pPr>
      <w:spacing w:line="140" w:lineRule="exact"/>
    </w:pPr>
    <w:rPr>
      <w:rFonts w:ascii="Helvetica" w:eastAsia="Helvetica" w:hAnsi="Helvetica" w:cs="Helvetica"/>
      <w:color w:val="FF0000"/>
      <w:sz w:val="14"/>
    </w:rPr>
  </w:style>
  <w:style w:type="paragraph" w:styleId="CommentText">
    <w:name w:val="annotation text"/>
    <w:basedOn w:val="Normal"/>
    <w:link w:val="CommentTextChar"/>
    <w:uiPriority w:val="99"/>
    <w:rsid w:val="00C24AAF"/>
    <w:pPr>
      <w:widowControl w:val="0"/>
      <w:autoSpaceDE w:val="0"/>
      <w:autoSpaceDN w:val="0"/>
      <w:adjustRightInd w:val="0"/>
    </w:pPr>
    <w:rPr>
      <w:rFonts w:eastAsiaTheme="minorEastAsia"/>
      <w:sz w:val="20"/>
      <w:szCs w:val="20"/>
    </w:rPr>
  </w:style>
  <w:style w:type="character" w:customStyle="1" w:styleId="CommentTextChar">
    <w:name w:val="Comment Text Char"/>
    <w:basedOn w:val="DefaultParagraphFont"/>
    <w:link w:val="CommentText"/>
    <w:uiPriority w:val="99"/>
    <w:rsid w:val="00C24AAF"/>
    <w:rPr>
      <w:rFonts w:eastAsiaTheme="minorEastAsia"/>
    </w:rPr>
  </w:style>
  <w:style w:type="paragraph" w:styleId="Revision">
    <w:name w:val="Revision"/>
    <w:hidden/>
    <w:uiPriority w:val="99"/>
    <w:semiHidden/>
    <w:rsid w:val="00A44414"/>
    <w:rPr>
      <w:sz w:val="24"/>
      <w:szCs w:val="24"/>
    </w:rPr>
  </w:style>
  <w:style w:type="paragraph" w:customStyle="1" w:styleId="SADocID">
    <w:name w:val="SADocID"/>
    <w:basedOn w:val="Footer"/>
    <w:qFormat/>
    <w:rsid w:val="00000A97"/>
    <w:pPr>
      <w:tabs>
        <w:tab w:val="left" w:pos="4680"/>
      </w:tabs>
    </w:pPr>
    <w:rPr>
      <w:rFonts w:eastAsia="Calibri"/>
      <w:noProof/>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ec.gov/Archives/edgar/data/70858/000119312525310920/d51586d424b3.htm" TargetMode="Externa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hyperlink" Target="https://www.sec.gov/Archives/edgar/data/70858/000119312525310920/d51586d424b3.htm" TargetMode="External"/><Relationship Id="rId2" Type="http://schemas.openxmlformats.org/officeDocument/2006/relationships/styles" Target="styles.xml"/><Relationship Id="rId16" Type="http://schemas.openxmlformats.org/officeDocument/2006/relationships/image" Target="media/image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sec.gov/Archives/edgar/data/70858/000119312525311320/d49145d424b2.htm" TargetMode="External"/><Relationship Id="rId14"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14990</Words>
  <Characters>85444</Characters>
  <Application>Microsoft Office Word</Application>
  <DocSecurity>0</DocSecurity>
  <Lines>712</Lines>
  <Paragraphs>200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100234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2026-06-12T09:42:00Z</dcterms:created>
  <dcterms:modified xsi:type="dcterms:W3CDTF">2026-06-12T09:42:00Z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v.</vt:lpwstr>
  </property>
  <property fmtid="{D5CDD505-2E9C-101B-9397-08002B2CF9AE}" pid="3" name="DocXFormat">
    <vt:lpwstr>NumberVersion</vt:lpwstr>
  </property>
  <property fmtid="{D5CDD505-2E9C-101B-9397-08002B2CF9AE}" pid="4" name="DocXLocation">
    <vt:lpwstr>NoDocId</vt:lpwstr>
  </property>
  <property fmtid="{D5CDD505-2E9C-101B-9397-08002B2CF9AE}" pid="5" name="_AdHocReviewCycleID">
    <vt:i4>-216522891</vt:i4>
  </property>
  <property fmtid="{D5CDD505-2E9C-101B-9397-08002B2CF9AE}" pid="6" name="_NewReviewCycle">
    <vt:lpwstr/>
  </property>
  <property fmtid="{D5CDD505-2E9C-101B-9397-08002B2CF9AE}" pid="7" name="_PreviousAdHocReviewCycleID">
    <vt:i4>1519081828</vt:i4>
  </property>
  <property fmtid="{D5CDD505-2E9C-101B-9397-08002B2CF9AE}" pid="8" name="ndDocumentId">
    <vt:lpwstr>4898-1490-7281</vt:lpwstr>
  </property>
  <property fmtid="{D5CDD505-2E9C-101B-9397-08002B2CF9AE}" pid="9" name="_ReviewingToolsShownOnce">
    <vt:lpwstr/>
  </property>
</Properties>
</file>