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r="0" t="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bg.jpg"/>
                    <pic:cNvPicPr/>
                  </pic:nvPicPr>
                  <pic:blipFill>
                    <a:blip r:embed="rId11"/>
                    <a:stretch>
                      <a:fillRect/>
                    </a:stretch>
                  </pic:blipFill>
                  <pic:spPr>
                    <a:xfrm>
                      <a:off x="0" y="0"/>
                      <a:ext cx="7560000" cy="10692000"/>
                    </a:xfrm>
                    <a:prstGeom prst="rect"/>
                  </pic:spPr>
                </pic:pic>
              </a:graphicData>
            </a:graphic>
          </wp:anchor>
        </w:drawing>
      </w:r>
    </w:p>
    <w:p>
      <w:pPr>
        <w:spacing w:after="120" w:before="7710"/>
        <w:jc w:val="center"/>
      </w:pPr>
      <w:r>
        <w:rPr>
          <w:caps/>
          <w:color w:val="C8C8C8"/>
          <w:sz w:val="30"/>
          <w:szCs w:val="34"/>
        </w:rPr>
        <w:t xml:space="preserve">AI Situational Intelligence Platform</w:t>
      </w:r>
    </w:p>
    <w:p>
      <w:pPr>
        <w:pBdr>
          <w:bottom w:val="single" w:color="C0101B" w:sz="12" w:space="4"/>
        </w:pBdr>
        <w:spacing w:after="360"/>
        <w:ind w:left="1701" w:right="1701"/>
        <w:jc w:val="center"/>
      </w:pPr>
      <w:r>
        <w:rPr>
          <w:b/>
          <w:bCs/>
          <w:color w:val="FFFFFF"/>
          <w:sz w:val="44"/>
          <w:szCs w:val="30"/>
        </w:rPr>
        <w:t xml:space="preserve">Project Specification v1.0</w:t>
      </w:r>
    </w:p>
    <w:p>
      <w:pPr>
        <w:spacing w:after="80"/>
        <w:jc w:val="center"/>
      </w:pPr>
      <w:r>
        <w:rPr>
          <w:b/>
          <w:bCs/>
          <w:color w:val="E51B26"/>
        </w:rPr>
        <w:t xml:space="preserve">Research focus:</w:t>
      </w:r>
      <w:r>
        <w:rPr>
          <w:color w:val="C8C8C8"/>
        </w:rPr>
        <w:t xml:space="preserve"> Source-aware spatiotemporal evidence fusion for disaster and disruption event intelligence in Bangladesh</w:t>
      </w:r>
    </w:p>
    <w:p>
      <w:pPr>
        <w:spacing w:after="80"/>
        <w:jc w:val="center"/>
      </w:pPr>
      <w:r>
        <w:rPr>
          <w:b/>
          <w:bCs/>
          <w:color w:val="E51B26"/>
        </w:rPr>
        <w:t xml:space="preserve">Deployment context:</w:t>
      </w:r>
      <w:r>
        <w:rPr>
          <w:color w:val="C8C8C8"/>
        </w:rPr>
        <w:t xml:space="preserve"> Situational intelligence for an MP’s office and authorized staff</w:t>
      </w:r>
    </w:p>
    <w:p>
      <w:pPr>
        <w:spacing w:after="80"/>
        <w:jc w:val="center"/>
      </w:pPr>
      <w:r>
        <w:rPr>
          <w:b/>
          <w:bCs/>
          <w:color w:val="E51B26"/>
        </w:rPr>
        <w:t xml:space="preserve">Structure:</w:t>
      </w:r>
      <w:r>
        <w:rPr>
          <w:color w:val="C8C8C8"/>
        </w:rPr>
        <w:t xml:space="preserve"> Three parallel tracks — Code, Dataset, Paper</w:t>
      </w:r>
    </w:p>
    <w:p>
      <w:pPr>
        <w:spacing w:after="80"/>
        <w:jc w:val="center"/>
      </w:pPr>
      <w:r>
        <w:rPr>
          <w:b/>
          <w:bCs/>
          <w:color w:val="E51B26"/>
        </w:rPr>
        <w:t xml:space="preserve">Primary research target:</w:t>
      </w:r>
      <w:r>
        <w:rPr>
          <w:color w:val="C8C8C8"/>
        </w:rPr>
        <w:t xml:space="preserve"> One Q1 journal paper (evidence fusion + spatiotemporal correlation)</w:t>
      </w:r>
    </w:p>
    <w:p>
      <w:pPr>
        <w:spacing w:before="280" w:after="80"/>
        <w:jc w:val="center"/>
      </w:pPr>
    </w:p>
    <w:p>
      <w:pPr>
        <w:spacing w:after="80"/>
        <w:jc w:val="center"/>
      </w:pPr>
      <w:r>
        <w:rPr>
          <w:b/>
          <w:bCs/>
          <w:color w:val="E51B26"/>
        </w:rPr>
        <w:t xml:space="preserve">Author:</w:t>
      </w:r>
      <w:r>
        <w:rPr>
          <w:color w:val="C8C8C8"/>
        </w:rPr>
        <w:t xml:space="preserve"> Md Rakibuzzaman</w:t>
      </w:r>
    </w:p>
    <w:p>
      <w:pPr>
        <w:spacing w:after="80"/>
        <w:jc w:val="center"/>
      </w:pPr>
      <w:r>
        <w:rPr>
          <w:b/>
          <w:bCs/>
          <w:color w:val="E51B26"/>
        </w:rPr>
        <w:t xml:space="preserve">Department:</w:t>
      </w:r>
      <w:r>
        <w:rPr>
          <w:color w:val="C8C8C8"/>
        </w:rPr>
        <w:t xml:space="preserve"> Computer Science &amp; Engineering, United International University, Dhaka</w:t>
      </w:r>
    </w:p>
    <w:p>
      <w:pPr>
        <w:spacing w:after="80"/>
        <w:jc w:val="center"/>
      </w:pPr>
      <w:r>
        <w:rPr>
          <w:b/>
          <w:bCs/>
          <w:color w:val="E51B26"/>
        </w:rPr>
        <w:t xml:space="preserve">Version / Date:</w:t>
      </w:r>
      <w:r>
        <w:rPr>
          <w:color w:val="C8C8C8"/>
        </w:rPr>
        <w:t xml:space="preserve"> v1.0 — October 2026</w:t>
      </w:r>
    </w:p>
    <w:p>
      <w:pPr>
        <w:spacing w:after="80"/>
        <w:jc w:val="center"/>
      </w:pPr>
      <w:r>
        <w:rPr>
          <w:b/>
          <w:bCs/>
          <w:color w:val="E51B26"/>
        </w:rPr>
        <w:t xml:space="preserve">Status:</w:t>
      </w:r>
      <w:r>
        <w:rPr>
          <w:color w:val="C8C8C8"/>
        </w:rPr>
        <w:t xml:space="preserve"> Draft for review</w:t>
      </w:r>
    </w:p>
    <w:p>
      <w:r>
        <w:br w:type="page"/>
      </w:r>
    </w:p>
    <w:p>
      <w:pPr>
        <w:pStyle w:val="Heading1"/>
      </w:pPr>
      <w:r>
        <w:t xml:space="preserve">0. What Changed from the Original Proposal</w:t>
      </w:r>
    </w:p>
    <w:p>
      <w:pPr>
        <w:spacing w:after="120"/>
      </w:pPr>
      <w:r>
        <w:t xml:space="preserve">This specification keeps the CARCUX name, identity, architecture and core principles from the original proposal. It changes how the work is scoped so that the system can be built, deployed, and turned into at least one Q1 journal paper within the undergraduate timeline (early 2028).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159"/>
        <w:gridCol w:w="4062"/>
      </w:tblGrid>
      <w:tr>
        <w:trPr>
          <w:tblHeader/>
        </w:trPr>
        <w:tc>
          <w:tcPr>
            <w:tcW w:type="dxa" w:w="180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Area</w:t>
            </w:r>
          </w:p>
        </w:tc>
        <w:tc>
          <w:tcPr>
            <w:tcW w:type="dxa" w:w="3159"/>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Original proposal</w:t>
            </w:r>
          </w:p>
        </w:tc>
        <w:tc>
          <w:tcPr>
            <w:tcW w:type="dxa" w:w="4062"/>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Spec v1.0</w:t>
            </w:r>
          </w:p>
        </w:tc>
      </w:tr>
      <w:tr>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Research domain</w:t>
            </w:r>
          </w:p>
        </w:tc>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General event intelligence, initially political events around an MP’s office</w:t>
            </w:r>
          </w:p>
        </w:tc>
        <w:tc>
          <w:tcPr>
            <w:tcW w:type="dxa" w:w="406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Disaster and disruption events: natural calamities, road and infrastructure disruption, urban emergencies</w:t>
            </w:r>
          </w:p>
        </w:tc>
      </w:tr>
      <w:tr>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Deployment context</w:t>
            </w:r>
          </w:p>
        </w:tc>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MP’s private office</w:t>
            </w:r>
          </w:p>
        </w:tc>
        <w:tc>
          <w:tcPr>
            <w:tcW w:type="dxa" w:w="406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Unchanged — MP’s office and authorized staff. Disasters and disruptions are core constituency concerns</w:t>
            </w:r>
          </w:p>
        </w:tc>
      </w:tr>
      <w:tr>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Research scope</w:t>
            </w:r>
          </w:p>
        </w:tc>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Six research areas treated as phases of one project</w:t>
            </w:r>
          </w:p>
        </w:tc>
        <w:tc>
          <w:tcPr>
            <w:tcW w:type="dxa" w:w="406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One research core (evidence fusion + spatiotemporal correlation). Other areas engineered with existing tools</w:t>
            </w:r>
          </w:p>
        </w:tc>
      </w:tr>
      <w:tr>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Political events</w:t>
            </w:r>
          </w:p>
        </w:tc>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Primary use case</w:t>
            </w:r>
          </w:p>
        </w:tc>
        <w:tc>
          <w:tcPr>
            <w:tcW w:type="dxa" w:w="406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Excluded as a category. A gathering that blocks a road may be recorded only as a road-disruption event, with no actors or political labels</w:t>
            </w:r>
          </w:p>
        </w:tc>
      </w:tr>
      <w:tr>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Data</w:t>
            </w:r>
          </w:p>
        </w:tc>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Hoped-for real field data</w:t>
            </w:r>
          </w:p>
        </w:tc>
        <w:tc>
          <w:tcPr>
            <w:tcW w:type="dxa" w:w="406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Public benchmarks + CARCUX-BD (reconstructed Bangladesh events) + simulated field reports derived from verified ground truth</w:t>
            </w:r>
          </w:p>
        </w:tc>
      </w:tr>
      <w:tr>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Workflow</w:t>
            </w:r>
          </w:p>
        </w:tc>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16 sequential phases</w:t>
            </w:r>
          </w:p>
        </w:tc>
        <w:tc>
          <w:tcPr>
            <w:tcW w:type="dxa" w:w="406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Three parallel tracks (Code, Dataset, Paper) with three defined sync points</w:t>
            </w:r>
          </w:p>
        </w:tc>
      </w:tr>
      <w:tr>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Backend</w:t>
            </w:r>
          </w:p>
        </w:tc>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FastAPI, Node or Java</w:t>
            </w:r>
          </w:p>
        </w:tc>
        <w:tc>
          <w:tcPr>
            <w:tcW w:type="dxa" w:w="406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Single Python/FastAPI backend (ML is in Python)</w:t>
            </w:r>
          </w:p>
        </w:tc>
      </w:tr>
      <w:tr>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Publication goal</w:t>
            </w:r>
          </w:p>
        </w:tc>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Possible, not required</w:t>
            </w:r>
          </w:p>
        </w:tc>
        <w:tc>
          <w:tcPr>
            <w:tcW w:type="dxa" w:w="406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At least one Q1 paper, built on a narrow, rigorously evaluated core</w:t>
            </w:r>
          </w:p>
        </w:tc>
      </w:tr>
    </w:tbl>
    <w:p>
      <w:pPr>
        <w:spacing w:after="120"/>
      </w:pPr>
    </w:p>
    <w:p>
      <w:pPr>
        <w:pStyle w:val="Heading1"/>
      </w:pPr>
      <w:r>
        <w:t xml:space="preserve">1. Executive Summary</w:t>
      </w:r>
    </w:p>
    <w:p>
      <w:pPr>
        <w:spacing w:after="120"/>
      </w:pPr>
      <w:r>
        <w:t xml:space="preserve">CARCUX is a secure, AI-assisted situational intelligence platform for an MP’s office and its authorized staff. It combines authenticated field observations with permitted public digital information — news, public web content, public posts, images and video — and turns them into a single, evidence-backed picture of what is happening across the constituency.</w:t>
      </w:r>
    </w:p>
    <w:p>
      <w:pPr>
        <w:spacing w:after="120"/>
      </w:pPr>
      <w:r>
        <w:t xml:space="preserve">Its research focus is disaster and disruption events in Bangladesh: floods, cyclones, waterlogging, landslides, road blockages, infrastructure failures, fires and building hazards. These events produce exactly the information problems CARCUX is designed to solve: many reports, conflicting details, copied posts presented as independent confirmations, and information that goes out of date quickly.</w:t>
      </w:r>
    </w:p>
    <w:p>
      <w:pPr>
        <w:spacing w:after="120"/>
      </w:pPr>
      <w:r>
        <w:t xml:space="preserve">CARCUX does not output a single AI answer. It maintains the evidence behind every assessment — provenance, source relationships, conflicts, uncertainty and timeline — so an authorized human can inspect the reasoning before acting.</w:t>
      </w:r>
    </w:p>
    <w:p>
      <w:pPr>
        <w:pBdr>
          <w:left w:val="single" w:color="111111" w:sz="24" w:space="8"/>
        </w:pBdr>
        <w:shd w:fill="FCECEC" w:color="auto" w:val="clear"/>
        <w:spacing w:after="160" w:before="120"/>
        <w:ind w:left="200" w:right="200"/>
      </w:pPr>
      <w:r>
        <w:rPr>
          <w:b/>
          <w:bCs/>
        </w:rPr>
        <w:t xml:space="preserve">Central research question:</w:t>
      </w:r>
      <w:r>
        <w:t xml:space="preserve"> How can heterogeneous field observations and noisy public reports be fused into reliable, calibrated, spatiotemporal event intelligence when sources disagree, copy one another, or contain errors?</w:t>
      </w:r>
    </w:p>
    <w:p>
      <w:pPr>
        <w:spacing w:after="120"/>
      </w:pPr>
      <w:r>
        <w:t xml:space="preserve">The project is developed as three parallel tracks: a working, deployable software system (Code); an annotated Bangladesh event–evidence dataset, CARCUX-BD (Dataset); and a Q1 journal paper on source-aware spatiotemporal evidence fusion (Paper).</w:t>
      </w:r>
    </w:p>
    <w:p>
      <w:pPr>
        <w:pStyle w:val="Heading1"/>
      </w:pPr>
      <w:r>
        <w:t xml:space="preserve">2. Project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Item</w:t>
            </w:r>
          </w:p>
        </w:tc>
        <w:tc>
          <w:tcPr>
            <w:tcW w:type="dxa" w:w="7041"/>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Definition</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Name</w:t>
            </w:r>
          </w:p>
        </w:tc>
        <w:tc>
          <w:tcPr>
            <w:tcW w:type="dxa" w:w="704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CARCUX — AI Situational Intelligence Platform</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Primary users</w:t>
            </w:r>
          </w:p>
        </w:tc>
        <w:tc>
          <w:tcPr>
            <w:tcW w:type="dxa" w:w="704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MP’s office and authorized staff; authorized field workers</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Practical purpose</w:t>
            </w:r>
          </w:p>
        </w:tc>
        <w:tc>
          <w:tcPr>
            <w:tcW w:type="dxa" w:w="704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 unified, continuously updated, evidence-backed picture of disaster and disruption situations across the relevant area</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Core inputs</w:t>
            </w:r>
          </w:p>
        </w:tc>
        <w:tc>
          <w:tcPr>
            <w:tcW w:type="dxa" w:w="704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Authenticated field observations + permitted public digital information + multimodal evidence</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Core intelligence</w:t>
            </w:r>
          </w:p>
        </w:tc>
        <w:tc>
          <w:tcPr>
            <w:tcW w:type="dxa" w:w="704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Event correlation across space and time, source-dependence-aware evidence fusion, conflict detection, calibrated uncertainty</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Core output</w:t>
            </w:r>
          </w:p>
        </w:tc>
        <w:tc>
          <w:tcPr>
            <w:tcW w:type="dxa" w:w="704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Human-verifiable event records with evidence, status, uncertainty and priority</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Core research</w:t>
            </w:r>
          </w:p>
        </w:tc>
        <w:tc>
          <w:tcPr>
            <w:tcW w:type="dxa" w:w="704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Source-aware spatiotemporal evidence fusion under noisy and conflicting information</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Core security</w:t>
            </w:r>
          </w:p>
        </w:tc>
        <w:tc>
          <w:tcPr>
            <w:tcW w:type="dxa" w:w="704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Authenticated sources, untrusted-data isolation, least privilege, auditability</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Core principle</w:t>
            </w:r>
          </w:p>
        </w:tc>
        <w:tc>
          <w:tcPr>
            <w:tcW w:type="dxa" w:w="704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AI assists; humans decide. Observe → Correlate → Verify → Understand → Human Decision</w:t>
            </w:r>
          </w:p>
        </w:tc>
      </w:tr>
    </w:tbl>
    <w:p>
      <w:pPr>
        <w:spacing w:after="120"/>
      </w:pPr>
    </w:p>
    <w:p>
      <w:pPr>
        <w:pStyle w:val="Heading1"/>
      </w:pPr>
      <w:r>
        <w:t xml:space="preserve">3. Scope</w:t>
      </w:r>
    </w:p>
    <w:p>
      <w:pPr>
        <w:pStyle w:val="Heading2"/>
      </w:pPr>
      <w:r>
        <w:t xml:space="preserve">3.1 Event families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tblHeader/>
        </w:trPr>
        <w:tc>
          <w:tcPr>
            <w:tcW w:type="dxa" w:w="198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Family</w:t>
            </w:r>
          </w:p>
        </w:tc>
        <w:tc>
          <w:tcPr>
            <w:tcW w:type="dxa" w:w="3610"/>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Example event types</w:t>
            </w:r>
          </w:p>
        </w:tc>
        <w:tc>
          <w:tcPr>
            <w:tcW w:type="dxa" w:w="3431"/>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Why it fits</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Natural calamities</w:t>
            </w:r>
          </w:p>
        </w:tc>
        <w:tc>
          <w:tcPr>
            <w:tcW w:type="dxa" w:w="361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Floods, cyclones, landslides, waterlogging, river erosion</w:t>
            </w:r>
          </w:p>
        </w:tc>
        <w:tc>
          <w:tcPr>
            <w:tcW w:type="dxa" w:w="343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Frequent in Bangladesh; heavy, conflicting and duplicated public coverage; clear ground truth afterward</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Road and infrastructure disruption</w:t>
            </w:r>
          </w:p>
        </w:tc>
        <w:tc>
          <w:tcPr>
            <w:tcW w:type="dxa" w:w="361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Road blockages, accidents, bridge or road damage, power / gas / water outages, construction closures</w:t>
            </w:r>
          </w:p>
        </w:tc>
        <w:tc>
          <w:tcPr>
            <w:tcW w:type="dxa" w:w="343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Strong spatial and temporal structure; reports go out of date quickly</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Urban emergencies</w:t>
            </w:r>
          </w:p>
        </w:tc>
        <w:tc>
          <w:tcPr>
            <w:tcW w:type="dxa" w:w="361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Fires, building collapses, building hazards, explosions</w:t>
            </w:r>
          </w:p>
        </w:tc>
        <w:tc>
          <w:tcPr>
            <w:tcW w:type="dxa" w:w="343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Fast-moving; early reports often disagree on location, scale and casualties</w:t>
            </w:r>
          </w:p>
        </w:tc>
      </w:tr>
    </w:tbl>
    <w:p>
      <w:pPr>
        <w:spacing w:after="120"/>
      </w:pPr>
    </w:p>
    <w:p>
      <w:pPr>
        <w:pStyle w:val="Heading2"/>
      </w:pPr>
      <w:r>
        <w:t xml:space="preserve">3.2 Out of scope</w:t>
      </w:r>
    </w:p>
    <w:p>
      <w:pPr>
        <w:pStyle w:val="ListParagraph"/>
        <w:numPr>
          <w:ilvl w:val="0"/>
          <w:numId w:val="2"/>
        </w:numPr>
        <w:spacing w:after="60"/>
      </w:pPr>
      <w:r>
        <w:t xml:space="preserve">Political events as a category (rallies, party activity, political statements, opinion monitoring).</w:t>
      </w:r>
    </w:p>
    <w:p>
      <w:pPr>
        <w:pStyle w:val="ListParagraph"/>
        <w:numPr>
          <w:ilvl w:val="0"/>
          <w:numId w:val="2"/>
        </w:numPr>
        <w:spacing w:after="60"/>
      </w:pPr>
      <w:r>
        <w:t xml:space="preserve">Any person-level analysis: identifying, profiling or tracking individuals, social accounts, critics or supporters.</w:t>
      </w:r>
    </w:p>
    <w:p>
      <w:pPr>
        <w:pStyle w:val="ListParagraph"/>
        <w:numPr>
          <w:ilvl w:val="0"/>
          <w:numId w:val="2"/>
        </w:numPr>
        <w:spacing w:after="60"/>
      </w:pPr>
      <w:r>
        <w:t xml:space="preserve">Predicting individual behaviour, voting, or political sentiment.</w:t>
      </w:r>
    </w:p>
    <w:p>
      <w:pPr>
        <w:pStyle w:val="ListParagraph"/>
        <w:numPr>
          <w:ilvl w:val="0"/>
          <w:numId w:val="2"/>
        </w:numPr>
        <w:spacing w:after="60"/>
      </w:pPr>
      <w:r>
        <w:t xml:space="preserve">Automated actions of any kind. CARCUX informs; humans decide.</w:t>
      </w:r>
    </w:p>
    <w:p>
      <w:pPr>
        <w:pBdr>
          <w:left w:val="single" w:color="111111" w:sz="24" w:space="8"/>
        </w:pBdr>
        <w:shd w:fill="FCECEC" w:color="auto" w:val="clear"/>
        <w:spacing w:after="160" w:before="120"/>
        <w:ind w:left="200" w:right="200"/>
      </w:pPr>
      <w:r>
        <w:rPr>
          <w:b/>
          <w:bCs/>
        </w:rPr>
        <w:t xml:space="preserve">Boundary rule:</w:t>
      </w:r>
      <w:r>
        <w:t xml:space="preserve"> A gathering or demonstration that blocks a road may be recorded </w:t>
      </w:r>
      <w:r>
        <w:rPr>
          <w:b/>
          <w:bCs/>
        </w:rPr>
        <w:t xml:space="preserve">only</w:t>
      </w:r>
      <w:r>
        <w:t xml:space="preserve"> as a road-disruption event — location, time, duration, traffic impact — with no actors, no sides and no political labels. The event schema has no fields for political attributes, and the extraction pipeline discards them.</w:t>
      </w:r>
    </w:p>
    <w:p>
      <w:pPr>
        <w:pStyle w:val="Heading2"/>
      </w:pPr>
      <w:r>
        <w:t xml:space="preserve">3.3 Language scope</w:t>
      </w:r>
    </w:p>
    <w:p>
      <w:pPr>
        <w:spacing w:after="120"/>
      </w:pPr>
      <w:r>
        <w:t xml:space="preserve">Bangla, English, Banglish (Romanized Bangla) and mixed Bangla–English text. Example: “Mirpur e ajke road block hoise” must be understood as a road-blockage report in Mirpur today.</w:t>
      </w:r>
    </w:p>
    <w:p>
      <w:pPr>
        <w:pStyle w:val="Heading1"/>
      </w:pPr>
      <w:r>
        <w:t xml:space="preserve">4. Problem Statement</w:t>
      </w:r>
    </w:p>
    <w:p>
      <w:pPr>
        <w:spacing w:after="120"/>
      </w:pPr>
      <w:r>
        <w:t xml:space="preserve">One real-world event appears in many forms at once: a field observation, several news articles, dozens of public posts, photos, videos and voice notes. These differ in reliability, timing, location precision and completeness. Many are copies of one original. Some are outdated, wrong, or manipulated.</w:t>
      </w:r>
    </w:p>
    <w:p>
      <w:pPr>
        <w:spacing w:after="120"/>
      </w:pPr>
      <w:r>
        <w:t xml:space="preserve">Existing tools usually handle each source on its own. Social-media monitors count posts without grouping them into events. News dashboards list articles without connecting them to field observations. Fake-news classifiers label single claims without placing them inside the larger event.</w:t>
      </w:r>
    </w:p>
    <w:p>
      <w:pPr>
        <w:spacing w:after="120"/>
      </w:pPr>
      <w:r>
        <w:t xml:space="preserve">CARCUX addresses the step in between: grouping observations into real-world events using space, time and meaning; working out which sources are actually independent; and producing a calibrated assessment that shows what supports it and what conflicts with it.</w:t>
      </w:r>
    </w:p>
    <w:p>
      <w:pPr>
        <w:pStyle w:val="Heading1"/>
      </w:pPr>
      <w:r>
        <w:t xml:space="preserve">5. Research Questions</w:t>
      </w:r>
    </w:p>
    <w:p>
      <w:pPr>
        <w:pStyle w:val="Heading2"/>
      </w:pPr>
      <w:r>
        <w:t xml:space="preserve">5.1 Core research questions (Q1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8124"/>
      </w:tblGrid>
      <w:tr>
        <w:trPr>
          <w:tblHeader/>
        </w:trPr>
        <w:tc>
          <w:tcPr>
            <w:tcW w:type="dxa" w:w="902"/>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ID</w:t>
            </w:r>
          </w:p>
        </w:tc>
        <w:tc>
          <w:tcPr>
            <w:tcW w:type="dxa" w:w="8124"/>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Question</w:t>
            </w:r>
          </w:p>
        </w:tc>
      </w:tr>
      <w:tr>
        <w:tc>
          <w:tcPr>
            <w:tcW w:type="dxa" w:w="90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RQ1</w:t>
            </w:r>
          </w:p>
        </w:tc>
        <w:tc>
          <w:tcPr>
            <w:tcW w:type="dxa" w:w="812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Does jointly modelling semantic, spatial and temporal similarity improve event correlation (grouping observations into events) compared with semantic similarity alone?</w:t>
            </w:r>
          </w:p>
        </w:tc>
      </w:tr>
      <w:tr>
        <w:tc>
          <w:tcPr>
            <w:tcW w:type="dxa" w:w="90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RQ2</w:t>
            </w:r>
          </w:p>
        </w:tc>
        <w:tc>
          <w:tcPr>
            <w:tcW w:type="dxa" w:w="812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Does modelling source dependence (copying, reposting, shared origin) improve event verification compared with treating every source as independent and equally weighted?</w:t>
            </w:r>
          </w:p>
        </w:tc>
      </w:tr>
      <w:tr>
        <w:tc>
          <w:tcPr>
            <w:tcW w:type="dxa" w:w="90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RQ3</w:t>
            </w:r>
          </w:p>
        </w:tc>
        <w:tc>
          <w:tcPr>
            <w:tcW w:type="dxa" w:w="812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Does explicit conflict detection reduce incorrect event assessments when sources disagree on location, time, scale or occurrence?</w:t>
            </w:r>
          </w:p>
        </w:tc>
      </w:tr>
      <w:tr>
        <w:tc>
          <w:tcPr>
            <w:tcW w:type="dxa" w:w="90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RQ4</w:t>
            </w:r>
          </w:p>
        </w:tc>
        <w:tc>
          <w:tcPr>
            <w:tcW w:type="dxa" w:w="812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How quickly does performance degrade as public information is contaminated with duplicates, contradictions and errors (0–60%), compared with conventional fusion baselines?</w:t>
            </w:r>
          </w:p>
        </w:tc>
      </w:tr>
      <w:tr>
        <w:tc>
          <w:tcPr>
            <w:tcW w:type="dxa" w:w="90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RQ5</w:t>
            </w:r>
          </w:p>
        </w:tc>
        <w:tc>
          <w:tcPr>
            <w:tcW w:type="dxa" w:w="812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Are the system’s uncertainty estimates calibrated, and do multi-state outputs (verified, conflicting, etc.) separate correct from incorrect assessments better than a single confidence score?</w:t>
            </w:r>
          </w:p>
        </w:tc>
      </w:tr>
    </w:tbl>
    <w:p>
      <w:pPr>
        <w:spacing w:after="120"/>
      </w:pPr>
    </w:p>
    <w:p>
      <w:pPr>
        <w:pStyle w:val="Heading2"/>
      </w:pPr>
      <w:r>
        <w:t xml:space="preserve">5.2 Future research questions (outside the first paper)</w:t>
      </w:r>
    </w:p>
    <w:p>
      <w:pPr>
        <w:pStyle w:val="ListParagraph"/>
        <w:numPr>
          <w:ilvl w:val="0"/>
          <w:numId w:val="2"/>
        </w:numPr>
        <w:spacing w:after="60"/>
      </w:pPr>
      <w:r>
        <w:rPr>
          <w:b/>
          <w:bCs/>
        </w:rPr>
        <w:t xml:space="preserve">Multimodal:</w:t>
      </w:r>
      <w:r>
        <w:t xml:space="preserve"> Does adding image and video evidence improve verification beyond text, location and time?</w:t>
      </w:r>
    </w:p>
    <w:p>
      <w:pPr>
        <w:pStyle w:val="ListParagraph"/>
        <w:numPr>
          <w:ilvl w:val="0"/>
          <w:numId w:val="2"/>
        </w:numPr>
        <w:spacing w:after="60"/>
      </w:pPr>
      <w:r>
        <w:rPr>
          <w:b/>
          <w:bCs/>
        </w:rPr>
        <w:t xml:space="preserve">Language:</w:t>
      </w:r>
      <w:r>
        <w:t xml:space="preserve"> How accurately can events be extracted from code-mixed Bangla/Banglish public text?</w:t>
      </w:r>
    </w:p>
    <w:p>
      <w:pPr>
        <w:pStyle w:val="ListParagraph"/>
        <w:numPr>
          <w:ilvl w:val="0"/>
          <w:numId w:val="2"/>
        </w:numPr>
        <w:spacing w:after="60"/>
      </w:pPr>
      <w:r>
        <w:rPr>
          <w:b/>
          <w:bCs/>
        </w:rPr>
        <w:t xml:space="preserve">Human-AI:</w:t>
      </w:r>
      <w:r>
        <w:t xml:space="preserve"> Do evidence-backed, uncertainty-aware outputs reduce the time and errors of human reviewers?</w:t>
      </w:r>
    </w:p>
    <w:p>
      <w:pPr>
        <w:pStyle w:val="Heading1"/>
      </w:pPr>
      <w:r>
        <w:t xml:space="preserve">6. Research vs Engineering Split</w:t>
      </w:r>
    </w:p>
    <w:p>
      <w:pPr>
        <w:spacing w:after="120"/>
      </w:pPr>
      <w:r>
        <w:t xml:space="preserve">The original proposal contained six areas, each large enough to be a research field of its own. To keep the paper rigorous and the system deliverable, only one combined area is treated as research. The others are built with existing, well-tested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527"/>
        <w:gridCol w:w="1805"/>
        <w:gridCol w:w="3972"/>
      </w:tblGrid>
      <w:tr>
        <w:trPr>
          <w:tblHeader/>
        </w:trPr>
        <w:tc>
          <w:tcPr>
            <w:tcW w:type="dxa" w:w="722"/>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w:t>
            </w:r>
          </w:p>
        </w:tc>
        <w:tc>
          <w:tcPr>
            <w:tcW w:type="dxa" w:w="2527"/>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Area</w:t>
            </w:r>
          </w:p>
        </w:tc>
        <w:tc>
          <w:tcPr>
            <w:tcW w:type="dxa" w:w="180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Role</w:t>
            </w:r>
          </w:p>
        </w:tc>
        <w:tc>
          <w:tcPr>
            <w:tcW w:type="dxa" w:w="3972"/>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Approach in CARCUX</w:t>
            </w:r>
          </w:p>
        </w:tc>
      </w:tr>
      <w:tr>
        <w:tc>
          <w:tcPr>
            <w:tcW w:type="dxa" w:w="72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3 + 4</w:t>
            </w:r>
          </w:p>
        </w:tc>
        <w:tc>
          <w:tcPr>
            <w:tcW w:type="dxa" w:w="252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Evidence fusion + spatiotemporal correlation</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b/>
                <w:bCs/>
                <w:sz w:val="19"/>
                <w:szCs w:val="19"/>
              </w:rPr>
              <w:t xml:space="preserve">Research core (Q1 paper)</w:t>
            </w:r>
          </w:p>
        </w:tc>
        <w:tc>
          <w:tcPr>
            <w:tcW w:type="dxa" w:w="397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Original model, baselines, ablations, robustness and calibration experiments</w:t>
            </w:r>
          </w:p>
        </w:tc>
      </w:tr>
      <w:tr>
        <w:tc>
          <w:tcPr>
            <w:tcW w:type="dxa" w:w="72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1</w:t>
            </w:r>
          </w:p>
        </w:tc>
        <w:tc>
          <w:tcPr>
            <w:tcW w:type="dxa" w:w="252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Bangla/Banglish event extraction</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Engineered</w:t>
            </w:r>
          </w:p>
        </w:tc>
        <w:tc>
          <w:tcPr>
            <w:tcW w:type="dxa" w:w="397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Pretrained multilingual models (e.g., BanglaBERT, XLM-R) and an LLM-based extractor; light fine-tuning on CARCUX-BD</w:t>
            </w:r>
          </w:p>
        </w:tc>
      </w:tr>
      <w:tr>
        <w:tc>
          <w:tcPr>
            <w:tcW w:type="dxa" w:w="72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2</w:t>
            </w:r>
          </w:p>
        </w:tc>
        <w:tc>
          <w:tcPr>
            <w:tcW w:type="dxa" w:w="252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Multimodal media understanding</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Engineered</w:t>
            </w:r>
          </w:p>
        </w:tc>
        <w:tc>
          <w:tcPr>
            <w:tcW w:type="dxa" w:w="397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Whisper-family ASR, OCR, CLIP-style image embeddings, perceptual hashing for duplicate media. No deepfake research</w:t>
            </w:r>
          </w:p>
        </w:tc>
      </w:tr>
      <w:tr>
        <w:tc>
          <w:tcPr>
            <w:tcW w:type="dxa" w:w="72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5</w:t>
            </w:r>
          </w:p>
        </w:tc>
        <w:tc>
          <w:tcPr>
            <w:tcW w:type="dxa" w:w="252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Secure field systems</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Engineered</w:t>
            </w:r>
          </w:p>
        </w:tc>
        <w:tc>
          <w:tcPr>
            <w:tcW w:type="dxa" w:w="397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Standard practice: passkeys/MFA, RBAC, signed reports, hashing, audit log, encrypted offline queue</w:t>
            </w:r>
          </w:p>
        </w:tc>
      </w:tr>
      <w:tr>
        <w:tc>
          <w:tcPr>
            <w:tcW w:type="dxa" w:w="72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6</w:t>
            </w:r>
          </w:p>
        </w:tc>
        <w:tc>
          <w:tcPr>
            <w:tcW w:type="dxa" w:w="252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Human-AI decision support</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Later</w:t>
            </w:r>
          </w:p>
        </w:tc>
        <w:tc>
          <w:tcPr>
            <w:tcW w:type="dxa" w:w="397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User study after deployment; candidate second paper</w:t>
            </w:r>
          </w:p>
        </w:tc>
      </w:tr>
    </w:tbl>
    <w:p>
      <w:pPr>
        <w:spacing w:after="120"/>
      </w:pPr>
    </w:p>
    <w:p>
      <w:pPr>
        <w:pBdr>
          <w:left w:val="single" w:color="111111" w:sz="24" w:space="8"/>
        </w:pBdr>
        <w:shd w:fill="FCECEC" w:color="auto" w:val="clear"/>
        <w:spacing w:after="160" w:before="120"/>
        <w:ind w:left="200" w:right="200"/>
      </w:pPr>
      <w:r>
        <w:rPr>
          <w:b/>
          <w:bCs/>
        </w:rPr>
        <w:t xml:space="preserve">Scope discipline rule:</w:t>
      </w:r>
      <w:r>
        <w:t xml:space="preserve"> If an interesting research problem appears in areas 1, 2, 5 or 6 during development, record it in research/future-work and return to the core. Do not convert engineered areas into research before the Q1 paper is submitted.</w:t>
      </w:r>
    </w:p>
    <w:p>
      <w:pPr>
        <w:pStyle w:val="Heading1"/>
      </w:pPr>
      <w:r>
        <w:t xml:space="preserve">7. Research Core: Source-Aware Spatiotemporal Evidence Fusion</w:t>
      </w:r>
    </w:p>
    <w:p>
      <w:pPr>
        <w:pStyle w:val="Heading2"/>
      </w:pPr>
      <w:r>
        <w:t xml:space="preserve">7.1 Problem formulation</w:t>
      </w:r>
    </w:p>
    <w:p>
      <w:pPr>
        <w:spacing w:after="120"/>
      </w:pPr>
      <w:r>
        <w:t xml:space="preserve">Each incoming item is an </w:t>
      </w:r>
      <w:r>
        <w:rPr>
          <w:b/>
          <w:bCs/>
        </w:rPr>
        <w:t xml:space="preserve">observation</w:t>
      </w:r>
      <w:r>
        <w:t xml:space="preserve">:</w:t>
      </w:r>
    </w:p>
    <w:p>
      <w:pPr>
        <w:shd w:fill="F4F6F8" w:color="auto" w:val="clear"/>
        <w:spacing w:after="0" w:before="60"/>
        <w:ind w:left="200" w:right="200"/>
      </w:pPr>
      <w:r>
        <w:rPr>
          <w:rFonts w:ascii="Consolas" w:cs="Consolas" w:eastAsia="Consolas" w:hAnsi="Consolas"/>
          <w:sz w:val="18"/>
          <w:szCs w:val="18"/>
        </w:rPr>
        <w:t xml:space="preserve">o_i = ( text_i, location_i, time_i, source_i, source_type_i, modality_i, metadata_i )</w:t>
      </w:r>
    </w:p>
    <w:p>
      <w:pPr>
        <w:shd w:fill="F4F6F8" w:color="auto" w:val="clear"/>
        <w:spacing w:after="0" w:before="0"/>
        <w:ind w:left="200" w:right="200"/>
      </w:pPr>
      <w:r>
        <w:rPr>
          <w:rFonts w:ascii="Consolas" w:cs="Consolas" w:eastAsia="Consolas" w:hAnsi="Consolas"/>
          <w:sz w:val="18"/>
          <w:szCs w:val="18"/>
        </w:rPr>
        <w:t xml:space="preserve"> </w:t>
      </w:r>
    </w:p>
    <w:p>
      <w:pPr>
        <w:shd w:fill="F4F6F8" w:color="auto" w:val="clear"/>
        <w:spacing w:after="0" w:before="0"/>
        <w:ind w:left="200" w:right="200"/>
      </w:pPr>
      <w:r>
        <w:rPr>
          <w:rFonts w:ascii="Consolas" w:cs="Consolas" w:eastAsia="Consolas" w:hAnsi="Consolas"/>
          <w:sz w:val="18"/>
          <w:szCs w:val="18"/>
        </w:rPr>
        <w:t xml:space="preserve">source_type  ∈ { FIELD, NEWS, SOCIAL, VIDEO, IMAGE, PUBLIC_RECORD, OTHER }</w:t>
      </w:r>
    </w:p>
    <w:p>
      <w:pPr>
        <w:shd w:fill="F4F6F8" w:color="auto" w:val="clear"/>
        <w:spacing w:after="0" w:before="0"/>
        <w:ind w:left="200" w:right="200"/>
      </w:pPr>
      <w:r>
        <w:rPr>
          <w:rFonts w:ascii="Consolas" w:cs="Consolas" w:eastAsia="Consolas" w:hAnsi="Consolas"/>
          <w:sz w:val="18"/>
          <w:szCs w:val="18"/>
        </w:rPr>
        <w:t xml:space="preserve">location     = point or region, with a precision estimate</w:t>
      </w:r>
    </w:p>
    <w:p>
      <w:pPr>
        <w:shd w:fill="F4F6F8" w:color="auto" w:val="clear"/>
        <w:spacing w:after="0" w:before="0"/>
        <w:ind w:left="200" w:right="200"/>
      </w:pPr>
      <w:r>
        <w:rPr>
          <w:rFonts w:ascii="Consolas" w:cs="Consolas" w:eastAsia="Consolas" w:hAnsi="Consolas"/>
          <w:sz w:val="18"/>
          <w:szCs w:val="18"/>
        </w:rPr>
        <w:t xml:space="preserve">time         = observed time and publication time (kept separate)</w:t>
      </w:r>
    </w:p>
    <w:p>
      <w:pPr>
        <w:spacing w:after="120"/>
      </w:pPr>
    </w:p>
    <w:p>
      <w:pPr>
        <w:spacing w:after="120"/>
      </w:pPr>
      <w:r>
        <w:t xml:space="preserve">Given a stream of observations, the system must produce:</w:t>
      </w:r>
    </w:p>
    <w:p>
      <w:pPr>
        <w:pStyle w:val="ListParagraph"/>
        <w:numPr>
          <w:ilvl w:val="0"/>
          <w:numId w:val="3"/>
        </w:numPr>
        <w:spacing w:after="60"/>
      </w:pPr>
      <w:r>
        <w:rPr>
          <w:b/>
          <w:bCs/>
        </w:rPr>
        <w:t xml:space="preserve">Event clusters</w:t>
      </w:r>
      <w:r>
        <w:t xml:space="preserve"> — which observations describe the same real-world event (correlation).</w:t>
      </w:r>
    </w:p>
    <w:p>
      <w:pPr>
        <w:pStyle w:val="ListParagraph"/>
        <w:numPr>
          <w:ilvl w:val="0"/>
          <w:numId w:val="3"/>
        </w:numPr>
        <w:spacing w:after="60"/>
      </w:pPr>
      <w:r>
        <w:rPr>
          <w:b/>
          <w:bCs/>
        </w:rPr>
        <w:t xml:space="preserve">Evidence relations</w:t>
      </w:r>
      <w:r>
        <w:t xml:space="preserve"> — for each observation and its event: SUPPORTS, CONTRADICTS, DUPLICATES, RELATED or UNRELATED.</w:t>
      </w:r>
    </w:p>
    <w:p>
      <w:pPr>
        <w:pStyle w:val="ListParagraph"/>
        <w:numPr>
          <w:ilvl w:val="0"/>
          <w:numId w:val="3"/>
        </w:numPr>
        <w:spacing w:after="60"/>
      </w:pPr>
      <w:r>
        <w:rPr>
          <w:b/>
          <w:bCs/>
        </w:rPr>
        <w:t xml:space="preserve">Source dependence</w:t>
      </w:r>
      <w:r>
        <w:t xml:space="preserve"> — which observations share an origin and should not count as independent confirmation.</w:t>
      </w:r>
    </w:p>
    <w:p>
      <w:pPr>
        <w:pStyle w:val="ListParagraph"/>
        <w:numPr>
          <w:ilvl w:val="0"/>
          <w:numId w:val="3"/>
        </w:numPr>
        <w:spacing w:after="60"/>
      </w:pPr>
      <w:r>
        <w:rPr>
          <w:b/>
          <w:bCs/>
        </w:rPr>
        <w:t xml:space="preserve">Event assessment</w:t>
      </w:r>
      <w:r>
        <w:t xml:space="preserve"> — one of VERIFIED, PARTIALLY VERIFIED, CONFLICTING, UNVERIFIED, INSUFFICIENT EVIDENCE, with a calibrated probability.</w:t>
      </w:r>
    </w:p>
    <w:p>
      <w:pPr>
        <w:pStyle w:val="Heading2"/>
      </w:pPr>
      <w:r>
        <w:t xml:space="preserve">7.2 Method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249"/>
        <w:gridCol w:w="3792"/>
      </w:tblGrid>
      <w:tr>
        <w:trPr>
          <w:tblHeader/>
        </w:trPr>
        <w:tc>
          <w:tcPr>
            <w:tcW w:type="dxa" w:w="198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Component</w:t>
            </w:r>
          </w:p>
        </w:tc>
        <w:tc>
          <w:tcPr>
            <w:tcW w:type="dxa" w:w="3249"/>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What it does</w:t>
            </w:r>
          </w:p>
        </w:tc>
        <w:tc>
          <w:tcPr>
            <w:tcW w:type="dxa" w:w="3792"/>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Candidate techniques</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Spatiotemporal correlation</w:t>
            </w:r>
          </w:p>
        </w:tc>
        <w:tc>
          <w:tcPr>
            <w:tcW w:type="dxa" w:w="324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Groups observations into events using meaning, distance and time together</w:t>
            </w:r>
          </w:p>
        </w:tc>
        <w:tc>
          <w:tcPr>
            <w:tcW w:type="dxa" w:w="379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Learned pairwise similarity (text embeddings + geodesic distance + time gap), followed by incremental / online clustering</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Source dependence</w:t>
            </w:r>
          </w:p>
        </w:tc>
        <w:tc>
          <w:tcPr>
            <w:tcW w:type="dxa" w:w="324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Detects copying and shared origin so copies do not inflate confidence</w:t>
            </w:r>
          </w:p>
        </w:tc>
        <w:tc>
          <w:tcPr>
            <w:tcW w:type="dxa" w:w="379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Near-duplicate text detection, publication-time ordering, link and attribution signals, truth-discovery-style dependence models</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Conflict detection</w:t>
            </w:r>
          </w:p>
        </w:tc>
        <w:tc>
          <w:tcPr>
            <w:tcW w:type="dxa" w:w="324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Finds disagreement on location, time, scale or occurrence</w:t>
            </w:r>
          </w:p>
        </w:tc>
        <w:tc>
          <w:tcPr>
            <w:tcW w:type="dxa" w:w="379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Attribute-level comparison, NLI-style contradiction models</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Evidence aggregation</w:t>
            </w:r>
          </w:p>
        </w:tc>
        <w:tc>
          <w:tcPr>
            <w:tcW w:type="dxa" w:w="324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Combines independent evidence into an event assessment</w:t>
            </w:r>
          </w:p>
        </w:tc>
        <w:tc>
          <w:tcPr>
            <w:tcW w:type="dxa" w:w="379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Bayesian / truth-discovery aggregation, Dempster–Shafer, graph-based models (GNN over the evidence graph)</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Uncertainty and calibration</w:t>
            </w:r>
          </w:p>
        </w:tc>
        <w:tc>
          <w:tcPr>
            <w:tcW w:type="dxa" w:w="324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Produces probabilities that mean what they say</w:t>
            </w:r>
          </w:p>
        </w:tc>
        <w:tc>
          <w:tcPr>
            <w:tcW w:type="dxa" w:w="379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Temperature scaling, evidential outputs, calibration evaluation (ECE, Brier)</w:t>
            </w:r>
          </w:p>
        </w:tc>
      </w:tr>
    </w:tbl>
    <w:p>
      <w:pPr>
        <w:spacing w:after="120"/>
      </w:pPr>
    </w:p>
    <w:p>
      <w:pPr>
        <w:spacing w:after="120"/>
      </w:pPr>
      <w:r>
        <w:t xml:space="preserve">The final mathematical model is chosen after the literature review and baseline experiments. A conceptual form of evidence contribution:</w:t>
      </w:r>
    </w:p>
    <w:p>
      <w:pPr>
        <w:shd w:fill="F4F6F8" w:color="auto" w:val="clear"/>
        <w:spacing w:after="0" w:before="60"/>
        <w:ind w:left="200" w:right="200"/>
      </w:pPr>
      <w:r>
        <w:rPr>
          <w:rFonts w:ascii="Consolas" w:cs="Consolas" w:eastAsia="Consolas" w:hAnsi="Consolas"/>
          <w:sz w:val="18"/>
          <w:szCs w:val="18"/>
        </w:rPr>
        <w:t xml:space="preserve">contribution(o, E) = f( source reliability, source independence,</w:t>
      </w:r>
    </w:p>
    <w:p>
      <w:pPr>
        <w:shd w:fill="F4F6F8" w:color="auto" w:val="clear"/>
        <w:spacing w:after="0" w:before="0"/>
        <w:ind w:left="200" w:right="200"/>
      </w:pPr>
      <w:r>
        <w:rPr>
          <w:rFonts w:ascii="Consolas" w:cs="Consolas" w:eastAsia="Consolas" w:hAnsi="Consolas"/>
          <w:sz w:val="18"/>
          <w:szCs w:val="18"/>
        </w:rPr>
        <w:t xml:space="preserve">                        spatial relevance, temporal relevance,</w:t>
      </w:r>
    </w:p>
    <w:p>
      <w:pPr>
        <w:shd w:fill="F4F6F8" w:color="auto" w:val="clear"/>
        <w:spacing w:after="0" w:before="0"/>
        <w:ind w:left="200" w:right="200"/>
      </w:pPr>
      <w:r>
        <w:rPr>
          <w:rFonts w:ascii="Consolas" w:cs="Consolas" w:eastAsia="Consolas" w:hAnsi="Consolas"/>
          <w:sz w:val="18"/>
          <w:szCs w:val="18"/>
        </w:rPr>
        <w:t xml:space="preserve">                        content consistency )</w:t>
      </w:r>
    </w:p>
    <w:p>
      <w:pPr>
        <w:shd w:fill="F4F6F8" w:color="auto" w:val="clear"/>
        <w:spacing w:after="0" w:before="0"/>
        <w:ind w:left="200" w:right="200"/>
      </w:pPr>
      <w:r>
        <w:rPr>
          <w:rFonts w:ascii="Consolas" w:cs="Consolas" w:eastAsia="Consolas" w:hAnsi="Consolas"/>
          <w:sz w:val="18"/>
          <w:szCs w:val="18"/>
        </w:rPr>
        <w:t xml:space="preserve">                     − g( duplication, contradiction, staleness )</w:t>
      </w:r>
    </w:p>
    <w:p>
      <w:pPr>
        <w:spacing w:after="120"/>
      </w:pPr>
    </w:p>
    <w:p>
      <w:pPr>
        <w:pStyle w:val="Heading2"/>
      </w:pPr>
      <w:r>
        <w:t xml:space="preserve">7.3 Novelty: what must be checked first</w:t>
      </w:r>
    </w:p>
    <w:p>
      <w:pPr>
        <w:spacing w:after="120"/>
      </w:pPr>
      <w:r>
        <w:t xml:space="preserve">Several ingredients already exist in the literature. The contribution must be positioned against them:</w:t>
      </w:r>
    </w:p>
    <w:p>
      <w:pPr>
        <w:pStyle w:val="ListParagraph"/>
        <w:numPr>
          <w:ilvl w:val="0"/>
          <w:numId w:val="2"/>
        </w:numPr>
        <w:spacing w:after="60"/>
      </w:pPr>
      <w:r>
        <w:rPr>
          <w:b/>
          <w:bCs/>
        </w:rPr>
        <w:t xml:space="preserve">Truth discovery and source dependence</w:t>
      </w:r>
      <w:r>
        <w:t xml:space="preserve"> — e.g., Dong, Berti-Equille &amp; Srivastava (VLDB 2009) on copying between sources; Li et al. (SIGKDD Explorations 2016) survey on truth discovery.</w:t>
      </w:r>
    </w:p>
    <w:p>
      <w:pPr>
        <w:pStyle w:val="ListParagraph"/>
        <w:numPr>
          <w:ilvl w:val="0"/>
          <w:numId w:val="2"/>
        </w:numPr>
        <w:spacing w:after="60"/>
      </w:pPr>
      <w:r>
        <w:rPr>
          <w:b/>
          <w:bCs/>
        </w:rPr>
        <w:t xml:space="preserve">Crisis event detection and summarization</w:t>
      </w:r>
      <w:r>
        <w:t xml:space="preserve"> — TREC-IS and TREC CrisisFACTS tracks; CrisisMMD; HumAID.</w:t>
      </w:r>
    </w:p>
    <w:p>
      <w:pPr>
        <w:pStyle w:val="ListParagraph"/>
        <w:numPr>
          <w:ilvl w:val="0"/>
          <w:numId w:val="2"/>
        </w:numPr>
        <w:spacing w:after="60"/>
      </w:pPr>
      <w:r>
        <w:rPr>
          <w:b/>
          <w:bCs/>
        </w:rPr>
        <w:t xml:space="preserve">Cross-document event coreference</w:t>
      </w:r>
      <w:r>
        <w:t xml:space="preserve"> and event clustering in news streams.</w:t>
      </w:r>
    </w:p>
    <w:p>
      <w:pPr>
        <w:pStyle w:val="ListParagraph"/>
        <w:numPr>
          <w:ilvl w:val="0"/>
          <w:numId w:val="2"/>
        </w:numPr>
        <w:spacing w:after="60"/>
      </w:pPr>
      <w:r>
        <w:rPr>
          <w:b/>
          <w:bCs/>
        </w:rPr>
        <w:t xml:space="preserve">Claim verification</w:t>
      </w:r>
      <w:r>
        <w:t xml:space="preserve"> — FEVER and multimodal fact-checking work.</w:t>
      </w:r>
    </w:p>
    <w:p>
      <w:pPr>
        <w:pBdr>
          <w:left w:val="single" w:color="111111" w:sz="24" w:space="8"/>
        </w:pBdr>
        <w:shd w:fill="FCECEC" w:color="auto" w:val="clear"/>
        <w:spacing w:after="160" w:before="120"/>
        <w:ind w:left="200" w:right="200"/>
      </w:pPr>
      <w:r>
        <w:rPr>
          <w:b/>
          <w:bCs/>
        </w:rPr>
        <w:t xml:space="preserve">Expected novelty (to be confirmed):</w:t>
      </w:r>
      <w:r>
        <w:t xml:space="preserve"> a single framework that jointly performs spatiotemporal event correlation, source-dependence-aware fusion and conflict-aware calibrated verification, combining authenticated field reports with noisy public data, evaluated for robustness under controlled contamination, with a new Bangla/Banglish disaster-and-disruption dataset.</w:t>
      </w:r>
    </w:p>
    <w:p>
      <w:pPr>
        <w:pStyle w:val="Heading1"/>
      </w:pPr>
      <w:r>
        <w:t xml:space="preserve">8. Evidence Model</w:t>
      </w:r>
    </w:p>
    <w:p>
      <w:pPr>
        <w:pStyle w:val="Heading2"/>
      </w:pPr>
      <w:r>
        <w:t xml:space="preserve">8.1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Label set</w:t>
            </w:r>
          </w:p>
        </w:tc>
        <w:tc>
          <w:tcPr>
            <w:tcW w:type="dxa" w:w="6770"/>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Values</w:t>
            </w:r>
          </w:p>
        </w:tc>
      </w:tr>
      <w:tr>
        <w:tc>
          <w:tcPr>
            <w:tcW w:type="dxa" w:w="225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Evidence relation</w:t>
            </w:r>
          </w:p>
        </w:tc>
        <w:tc>
          <w:tcPr>
            <w:tcW w:type="dxa" w:w="677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SUPPORTS · CONTRADICTS · DUPLICATES · RELATED · UNRELATED</w:t>
            </w:r>
          </w:p>
        </w:tc>
      </w:tr>
      <w:tr>
        <w:tc>
          <w:tcPr>
            <w:tcW w:type="dxa" w:w="225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Event assessment</w:t>
            </w:r>
          </w:p>
        </w:tc>
        <w:tc>
          <w:tcPr>
            <w:tcW w:type="dxa" w:w="677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VERIFIED · PARTIALLY VERIFIED · CONFLICTING · UNVERIFIED · INSUFFICIENT EVIDENCE</w:t>
            </w:r>
          </w:p>
        </w:tc>
      </w:tr>
      <w:tr>
        <w:tc>
          <w:tcPr>
            <w:tcW w:type="dxa" w:w="225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Source role</w:t>
            </w:r>
          </w:p>
        </w:tc>
        <w:tc>
          <w:tcPr>
            <w:tcW w:type="dxa" w:w="677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FIELD · NEWS · SOCIAL · VIDEO · IMAGE · PUBLIC RECORD · OTHER</w:t>
            </w:r>
          </w:p>
        </w:tc>
      </w:tr>
      <w:tr>
        <w:tc>
          <w:tcPr>
            <w:tcW w:type="dxa" w:w="225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Event status</w:t>
            </w:r>
          </w:p>
        </w:tc>
        <w:tc>
          <w:tcPr>
            <w:tcW w:type="dxa" w:w="677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EMERGING · ONGOING · ESCALATING · STABLE · RESOLVED</w:t>
            </w:r>
          </w:p>
        </w:tc>
      </w:tr>
      <w:tr>
        <w:tc>
          <w:tcPr>
            <w:tcW w:type="dxa" w:w="225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Priority</w:t>
            </w:r>
          </w:p>
        </w:tc>
        <w:tc>
          <w:tcPr>
            <w:tcW w:type="dxa" w:w="677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HIGH · MEDIUM · LOW — from operational factors only</w:t>
            </w:r>
          </w:p>
        </w:tc>
      </w:tr>
    </w:tbl>
    <w:p>
      <w:pPr>
        <w:spacing w:after="120"/>
      </w:pPr>
    </w:p>
    <w:p>
      <w:pPr>
        <w:pStyle w:val="Heading2"/>
      </w:pPr>
      <w:r>
        <w:t xml:space="preserve">8.2 Core principle</w:t>
      </w:r>
    </w:p>
    <w:p>
      <w:pPr>
        <w:spacing w:after="120"/>
      </w:pPr>
      <w:r>
        <w:t xml:space="preserve">Model confidence is not truth. CARCUX reports what evidence exists and how it relates to the assessment. A hundred copies of one post count as one source.</w:t>
      </w:r>
    </w:p>
    <w:p>
      <w:pPr>
        <w:pStyle w:val="Heading2"/>
      </w:pPr>
      <w:r>
        <w:t xml:space="preserve">8.3 Priority</w:t>
      </w:r>
    </w:p>
    <w:p>
      <w:pPr>
        <w:spacing w:after="120"/>
      </w:pPr>
      <w:r>
        <w:t xml:space="preserve">Priority depends only on observable operational factors: safety risk, number of people or areas affected, infrastructure disruption, rate of change, duration and evidence confidence. It never depends on who is involved or what anyone said about anyone.</w:t>
      </w:r>
    </w:p>
    <w:p>
      <w:pPr>
        <w:pStyle w:val="Heading2"/>
      </w:pPr>
      <w:r>
        <w:t xml:space="preserve">8.4 Example event record</w:t>
      </w:r>
    </w:p>
    <w:p>
      <w:pPr>
        <w:shd w:fill="F4F6F8" w:color="auto" w:val="clear"/>
        <w:spacing w:after="0" w:before="60"/>
        <w:ind w:left="200" w:right="200"/>
      </w:pPr>
      <w:r>
        <w:rPr>
          <w:rFonts w:ascii="Consolas" w:cs="Consolas" w:eastAsia="Consolas" w:hAnsi="Consolas"/>
          <w:sz w:val="18"/>
          <w:szCs w:val="18"/>
        </w:rPr>
        <w:t xml:space="preserve">EVENT-00127</w:t>
      </w:r>
    </w:p>
    <w:p>
      <w:pPr>
        <w:shd w:fill="F4F6F8" w:color="auto" w:val="clear"/>
        <w:spacing w:after="0" w:before="0"/>
        <w:ind w:left="200" w:right="200"/>
      </w:pPr>
      <w:r>
        <w:rPr>
          <w:rFonts w:ascii="Consolas" w:cs="Consolas" w:eastAsia="Consolas" w:hAnsi="Consolas"/>
          <w:sz w:val="18"/>
          <w:szCs w:val="18"/>
        </w:rPr>
        <w:t xml:space="preserve">Category:        Waterlogging / road disruption</w:t>
      </w:r>
    </w:p>
    <w:p>
      <w:pPr>
        <w:shd w:fill="F4F6F8" w:color="auto" w:val="clear"/>
        <w:spacing w:after="0" w:before="0"/>
        <w:ind w:left="200" w:right="200"/>
      </w:pPr>
      <w:r>
        <w:rPr>
          <w:rFonts w:ascii="Consolas" w:cs="Consolas" w:eastAsia="Consolas" w:hAnsi="Consolas"/>
          <w:sz w:val="18"/>
          <w:szCs w:val="18"/>
        </w:rPr>
        <w:t xml:space="preserve">Location:        Area X (23.xxxx, 90.xxxx), precision ~300 m</w:t>
      </w:r>
    </w:p>
    <w:p>
      <w:pPr>
        <w:shd w:fill="F4F6F8" w:color="auto" w:val="clear"/>
        <w:spacing w:after="0" w:before="0"/>
        <w:ind w:left="200" w:right="200"/>
      </w:pPr>
      <w:r>
        <w:rPr>
          <w:rFonts w:ascii="Consolas" w:cs="Consolas" w:eastAsia="Consolas" w:hAnsi="Consolas"/>
          <w:sz w:val="18"/>
          <w:szCs w:val="18"/>
        </w:rPr>
        <w:t xml:space="preserve">First observed:  10:12   Last update: 11:04</w:t>
      </w:r>
    </w:p>
    <w:p>
      <w:pPr>
        <w:shd w:fill="F4F6F8" w:color="auto" w:val="clear"/>
        <w:spacing w:after="0" w:before="0"/>
        <w:ind w:left="200" w:right="200"/>
      </w:pPr>
      <w:r>
        <w:rPr>
          <w:rFonts w:ascii="Consolas" w:cs="Consolas" w:eastAsia="Consolas" w:hAnsi="Consolas"/>
          <w:sz w:val="18"/>
          <w:szCs w:val="18"/>
        </w:rPr>
        <w:t xml:space="preserve">Status:          ESCALATING</w:t>
      </w:r>
    </w:p>
    <w:p>
      <w:pPr>
        <w:shd w:fill="F4F6F8" w:color="auto" w:val="clear"/>
        <w:spacing w:after="0" w:before="0"/>
        <w:ind w:left="200" w:right="200"/>
      </w:pPr>
      <w:r>
        <w:rPr>
          <w:rFonts w:ascii="Consolas" w:cs="Consolas" w:eastAsia="Consolas" w:hAnsi="Consolas"/>
          <w:sz w:val="18"/>
          <w:szCs w:val="18"/>
        </w:rPr>
        <w:t xml:space="preserve">Evidence:        3 field reports, 5 news, 42 public posts, 12 images, 4 videos</w:t>
      </w:r>
    </w:p>
    <w:p>
      <w:pPr>
        <w:shd w:fill="F4F6F8" w:color="auto" w:val="clear"/>
        <w:spacing w:after="0" w:before="0"/>
        <w:ind w:left="200" w:right="200"/>
      </w:pPr>
      <w:r>
        <w:rPr>
          <w:rFonts w:ascii="Consolas" w:cs="Consolas" w:eastAsia="Consolas" w:hAnsi="Consolas"/>
          <w:sz w:val="18"/>
          <w:szCs w:val="18"/>
        </w:rPr>
        <w:t xml:space="preserve">Relations:       31 support, 7 contradict, 14 duplicate (collapse to 3 origins)</w:t>
      </w:r>
    </w:p>
    <w:p>
      <w:pPr>
        <w:shd w:fill="F4F6F8" w:color="auto" w:val="clear"/>
        <w:spacing w:after="0" w:before="0"/>
        <w:ind w:left="200" w:right="200"/>
      </w:pPr>
      <w:r>
        <w:rPr>
          <w:rFonts w:ascii="Consolas" w:cs="Consolas" w:eastAsia="Consolas" w:hAnsi="Consolas"/>
          <w:sz w:val="18"/>
          <w:szCs w:val="18"/>
        </w:rPr>
        <w:t xml:space="preserve">Assessment:      PARTIALLY VERIFIED   p = 0.74 (calibrated)</w:t>
      </w:r>
    </w:p>
    <w:p>
      <w:pPr>
        <w:shd w:fill="F4F6F8" w:color="auto" w:val="clear"/>
        <w:spacing w:after="0" w:before="0"/>
        <w:ind w:left="200" w:right="200"/>
      </w:pPr>
      <w:r>
        <w:rPr>
          <w:rFonts w:ascii="Consolas" w:cs="Consolas" w:eastAsia="Consolas" w:hAnsi="Consolas"/>
          <w:sz w:val="18"/>
          <w:szCs w:val="18"/>
        </w:rPr>
        <w:t xml:space="preserve">Conflicts:       water depth estimate; affected road segment</w:t>
      </w:r>
    </w:p>
    <w:p>
      <w:pPr>
        <w:shd w:fill="F4F6F8" w:color="auto" w:val="clear"/>
        <w:spacing w:after="0" w:before="0"/>
        <w:ind w:left="200" w:right="200"/>
      </w:pPr>
      <w:r>
        <w:rPr>
          <w:rFonts w:ascii="Consolas" w:cs="Consolas" w:eastAsia="Consolas" w:hAnsi="Consolas"/>
          <w:sz w:val="18"/>
          <w:szCs w:val="18"/>
        </w:rPr>
        <w:t xml:space="preserve">Priority:        HIGH — major road blocked, rising rate of reports</w:t>
      </w:r>
    </w:p>
    <w:p>
      <w:pPr>
        <w:shd w:fill="F4F6F8" w:color="auto" w:val="clear"/>
        <w:spacing w:after="0" w:before="0"/>
        <w:ind w:left="200" w:right="200"/>
      </w:pPr>
      <w:r>
        <w:rPr>
          <w:rFonts w:ascii="Consolas" w:cs="Consolas" w:eastAsia="Consolas" w:hAnsi="Consolas"/>
          <w:sz w:val="18"/>
          <w:szCs w:val="18"/>
        </w:rPr>
        <w:t xml:space="preserve">Human review:    PENDING</w:t>
      </w:r>
    </w:p>
    <w:p>
      <w:pPr>
        <w:spacing w:after="120"/>
      </w:pPr>
    </w:p>
    <w:p>
      <w:pPr>
        <w:pStyle w:val="Heading1"/>
      </w:pPr>
      <w:r>
        <w:t xml:space="preserve">9. System Architecture (CARCUX Product)</w:t>
      </w:r>
    </w:p>
    <w:p>
      <w:pPr>
        <w:pStyle w:val="Heading2"/>
      </w:pPr>
      <w:r>
        <w:t xml:space="preserve">9.1 Three intelligence branches</w:t>
      </w:r>
    </w:p>
    <w:p>
      <w:pPr>
        <w:pStyle w:val="ListParagraph"/>
        <w:numPr>
          <w:ilvl w:val="0"/>
          <w:numId w:val="2"/>
        </w:numPr>
        <w:spacing w:after="60"/>
      </w:pPr>
      <w:r>
        <w:rPr>
          <w:b/>
          <w:bCs/>
        </w:rPr>
        <w:t xml:space="preserve">Field Intelligence</w:t>
      </w:r>
      <w:r>
        <w:t xml:space="preserve"> — authenticated field workers submit text, GPS, photos, video and voice notes. Treated as authenticated, not infallible.</w:t>
      </w:r>
    </w:p>
    <w:p>
      <w:pPr>
        <w:pStyle w:val="ListParagraph"/>
        <w:numPr>
          <w:ilvl w:val="0"/>
          <w:numId w:val="2"/>
        </w:numPr>
        <w:spacing w:after="60"/>
      </w:pPr>
      <w:r>
        <w:rPr>
          <w:b/>
          <w:bCs/>
        </w:rPr>
        <w:t xml:space="preserve">Public Digital Intelligence</w:t>
      </w:r>
      <w:r>
        <w:t xml:space="preserve"> — permitted news, public web pages, public posts, images and video. Always treated as untrusted input.</w:t>
      </w:r>
    </w:p>
    <w:p>
      <w:pPr>
        <w:pStyle w:val="ListParagraph"/>
        <w:numPr>
          <w:ilvl w:val="0"/>
          <w:numId w:val="2"/>
        </w:numPr>
        <w:spacing w:after="60"/>
      </w:pPr>
      <w:r>
        <w:rPr>
          <w:b/>
          <w:bCs/>
        </w:rPr>
        <w:t xml:space="preserve">Fusion Intelligence</w:t>
      </w:r>
      <w:r>
        <w:t xml:space="preserve"> — the research core: correlation, source dependence, conflict, aggregation, uncertainty.</w:t>
      </w:r>
    </w:p>
    <w:p>
      <w:pPr>
        <w:pStyle w:val="Heading2"/>
      </w:pPr>
      <w:r>
        <w:t xml:space="preserve">9.2 Processing pipeline</w:t>
      </w:r>
    </w:p>
    <w:p>
      <w:pPr>
        <w:shd w:fill="F4F6F8" w:color="auto" w:val="clear"/>
        <w:spacing w:after="0" w:before="60"/>
        <w:ind w:left="200" w:right="200"/>
      </w:pPr>
      <w:r>
        <w:rPr>
          <w:rFonts w:ascii="Consolas" w:cs="Consolas" w:eastAsia="Consolas" w:hAnsi="Consolas"/>
          <w:sz w:val="18"/>
          <w:szCs w:val="18"/>
        </w:rPr>
        <w:t xml:space="preserve">INGESTION (field app | news/web/public collectors)</w:t>
      </w:r>
    </w:p>
    <w:p>
      <w:pPr>
        <w:shd w:fill="F4F6F8" w:color="auto" w:val="clear"/>
        <w:spacing w:after="0" w:before="0"/>
        <w:ind w:left="200" w:right="200"/>
      </w:pPr>
      <w:r>
        <w:rPr>
          <w:rFonts w:ascii="Consolas" w:cs="Consolas" w:eastAsia="Consolas" w:hAnsi="Consolas"/>
          <w:sz w:val="18"/>
          <w:szCs w:val="18"/>
        </w:rPr>
        <w:t xml:space="preserve">        ↓</w:t>
      </w:r>
    </w:p>
    <w:p>
      <w:pPr>
        <w:shd w:fill="F4F6F8" w:color="auto" w:val="clear"/>
        <w:spacing w:after="0" w:before="0"/>
        <w:ind w:left="200" w:right="200"/>
      </w:pPr>
      <w:r>
        <w:rPr>
          <w:rFonts w:ascii="Consolas" w:cs="Consolas" w:eastAsia="Consolas" w:hAnsi="Consolas"/>
          <w:sz w:val="18"/>
          <w:szCs w:val="18"/>
        </w:rPr>
        <w:t xml:space="preserve">VALIDATION + SANITIZATION  (untrusted boundary)</w:t>
      </w:r>
    </w:p>
    <w:p>
      <w:pPr>
        <w:shd w:fill="F4F6F8" w:color="auto" w:val="clear"/>
        <w:spacing w:after="0" w:before="0"/>
        <w:ind w:left="200" w:right="200"/>
      </w:pPr>
      <w:r>
        <w:rPr>
          <w:rFonts w:ascii="Consolas" w:cs="Consolas" w:eastAsia="Consolas" w:hAnsi="Consolas"/>
          <w:sz w:val="18"/>
          <w:szCs w:val="18"/>
        </w:rPr>
        <w:t xml:space="preserve">        ↓</w:t>
      </w:r>
    </w:p>
    <w:p>
      <w:pPr>
        <w:shd w:fill="F4F6F8" w:color="auto" w:val="clear"/>
        <w:spacing w:after="0" w:before="0"/>
        <w:ind w:left="200" w:right="200"/>
      </w:pPr>
      <w:r>
        <w:rPr>
          <w:rFonts w:ascii="Consolas" w:cs="Consolas" w:eastAsia="Consolas" w:hAnsi="Consolas"/>
          <w:sz w:val="18"/>
          <w:szCs w:val="18"/>
        </w:rPr>
        <w:t xml:space="preserve">EXTRACTION  (language ID → Bangla/Banglish/English NLP → entities,</w:t>
      </w:r>
    </w:p>
    <w:p>
      <w:pPr>
        <w:shd w:fill="F4F6F8" w:color="auto" w:val="clear"/>
        <w:spacing w:after="0" w:before="0"/>
        <w:ind w:left="200" w:right="200"/>
      </w:pPr>
      <w:r>
        <w:rPr>
          <w:rFonts w:ascii="Consolas" w:cs="Consolas" w:eastAsia="Consolas" w:hAnsi="Consolas"/>
          <w:sz w:val="18"/>
          <w:szCs w:val="18"/>
        </w:rPr>
        <w:t xml:space="preserve">             locations, times, event type; ASR/OCR for media)</w:t>
      </w:r>
    </w:p>
    <w:p>
      <w:pPr>
        <w:shd w:fill="F4F6F8" w:color="auto" w:val="clear"/>
        <w:spacing w:after="0" w:before="0"/>
        <w:ind w:left="200" w:right="200"/>
      </w:pPr>
      <w:r>
        <w:rPr>
          <w:rFonts w:ascii="Consolas" w:cs="Consolas" w:eastAsia="Consolas" w:hAnsi="Consolas"/>
          <w:sz w:val="18"/>
          <w:szCs w:val="18"/>
        </w:rPr>
        <w:t xml:space="preserve">        ↓</w:t>
      </w:r>
    </w:p>
    <w:p>
      <w:pPr>
        <w:shd w:fill="F4F6F8" w:color="auto" w:val="clear"/>
        <w:spacing w:after="0" w:before="0"/>
        <w:ind w:left="200" w:right="200"/>
      </w:pPr>
      <w:r>
        <w:rPr>
          <w:rFonts w:ascii="Consolas" w:cs="Consolas" w:eastAsia="Consolas" w:hAnsi="Consolas"/>
          <w:sz w:val="18"/>
          <w:szCs w:val="18"/>
        </w:rPr>
        <w:t xml:space="preserve">GEOCODING + TIME NORMALIZATION</w:t>
      </w:r>
    </w:p>
    <w:p>
      <w:pPr>
        <w:shd w:fill="F4F6F8" w:color="auto" w:val="clear"/>
        <w:spacing w:after="0" w:before="0"/>
        <w:ind w:left="200" w:right="200"/>
      </w:pPr>
      <w:r>
        <w:rPr>
          <w:rFonts w:ascii="Consolas" w:cs="Consolas" w:eastAsia="Consolas" w:hAnsi="Consolas"/>
          <w:sz w:val="18"/>
          <w:szCs w:val="18"/>
        </w:rPr>
        <w:t xml:space="preserve">        ↓</w:t>
      </w:r>
    </w:p>
    <w:p>
      <w:pPr>
        <w:shd w:fill="F4F6F8" w:color="auto" w:val="clear"/>
        <w:spacing w:after="0" w:before="0"/>
        <w:ind w:left="200" w:right="200"/>
      </w:pPr>
      <w:r>
        <w:rPr>
          <w:rFonts w:ascii="Consolas" w:cs="Consolas" w:eastAsia="Consolas" w:hAnsi="Consolas"/>
          <w:sz w:val="18"/>
          <w:szCs w:val="18"/>
        </w:rPr>
        <w:t xml:space="preserve">FUSION ENGINE  (correlation → dependence → conflict → aggregation</w:t>
      </w:r>
    </w:p>
    <w:p>
      <w:pPr>
        <w:shd w:fill="F4F6F8" w:color="auto" w:val="clear"/>
        <w:spacing w:after="0" w:before="0"/>
        <w:ind w:left="200" w:right="200"/>
      </w:pPr>
      <w:r>
        <w:rPr>
          <w:rFonts w:ascii="Consolas" w:cs="Consolas" w:eastAsia="Consolas" w:hAnsi="Consolas"/>
          <w:sz w:val="18"/>
          <w:szCs w:val="18"/>
        </w:rPr>
        <w:t xml:space="preserve">                → calibrated assessment)</w:t>
      </w:r>
    </w:p>
    <w:p>
      <w:pPr>
        <w:shd w:fill="F4F6F8" w:color="auto" w:val="clear"/>
        <w:spacing w:after="0" w:before="0"/>
        <w:ind w:left="200" w:right="200"/>
      </w:pPr>
      <w:r>
        <w:rPr>
          <w:rFonts w:ascii="Consolas" w:cs="Consolas" w:eastAsia="Consolas" w:hAnsi="Consolas"/>
          <w:sz w:val="18"/>
          <w:szCs w:val="18"/>
        </w:rPr>
        <w:t xml:space="preserve">        ↓</w:t>
      </w:r>
    </w:p>
    <w:p>
      <w:pPr>
        <w:shd w:fill="F4F6F8" w:color="auto" w:val="clear"/>
        <w:spacing w:after="0" w:before="0"/>
        <w:ind w:left="200" w:right="200"/>
      </w:pPr>
      <w:r>
        <w:rPr>
          <w:rFonts w:ascii="Consolas" w:cs="Consolas" w:eastAsia="Consolas" w:hAnsi="Consolas"/>
          <w:sz w:val="18"/>
          <w:szCs w:val="18"/>
        </w:rPr>
        <w:t xml:space="preserve">EVENT / EVIDENCE GRAPH  (PostgreSQL + PostGIS + pgvector)</w:t>
      </w:r>
    </w:p>
    <w:p>
      <w:pPr>
        <w:shd w:fill="F4F6F8" w:color="auto" w:val="clear"/>
        <w:spacing w:after="0" w:before="0"/>
        <w:ind w:left="200" w:right="200"/>
      </w:pPr>
      <w:r>
        <w:rPr>
          <w:rFonts w:ascii="Consolas" w:cs="Consolas" w:eastAsia="Consolas" w:hAnsi="Consolas"/>
          <w:sz w:val="18"/>
          <w:szCs w:val="18"/>
        </w:rPr>
        <w:t xml:space="preserve">        ↓</w:t>
      </w:r>
    </w:p>
    <w:p>
      <w:pPr>
        <w:shd w:fill="F4F6F8" w:color="auto" w:val="clear"/>
        <w:spacing w:after="0" w:before="0"/>
        <w:ind w:left="200" w:right="200"/>
      </w:pPr>
      <w:r>
        <w:rPr>
          <w:rFonts w:ascii="Consolas" w:cs="Consolas" w:eastAsia="Consolas" w:hAnsi="Consolas"/>
          <w:sz w:val="18"/>
          <w:szCs w:val="18"/>
        </w:rPr>
        <w:t xml:space="preserve">PRIORITY → HUMAN REVIEW → DASHBOARD (map, timeline, evidence, assistant)</w:t>
      </w:r>
    </w:p>
    <w:p>
      <w:pPr>
        <w:spacing w:after="120"/>
      </w:pPr>
    </w:p>
    <w:p>
      <w:pPr>
        <w:pStyle w:val="Heading2"/>
      </w:pPr>
      <w:r>
        <w:t xml:space="preserve">9.3 Trust boundaries</w:t>
      </w:r>
    </w:p>
    <w:p>
      <w:pPr>
        <w:spacing w:after="120"/>
      </w:pPr>
      <w:r>
        <w:t xml:space="preserve">External content never reaches privileged tools or instructions directly. It is parsed into structured evidence first. Any LLM component reads evidence as data, has no write access to the database or system actions, and its outputs are checked against the evidence graph before display. The AI assistant answers only with references to evidence items.</w:t>
      </w:r>
    </w:p>
    <w:p>
      <w:pPr>
        <w:pStyle w:val="Heading2"/>
      </w:pPr>
      <w:r>
        <w:t xml:space="preserve">9.4 Resilience</w:t>
      </w:r>
    </w:p>
    <w:p>
      <w:pPr>
        <w:pStyle w:val="ListParagraph"/>
        <w:numPr>
          <w:ilvl w:val="0"/>
          <w:numId w:val="2"/>
        </w:numPr>
        <w:spacing w:after="60"/>
      </w:pPr>
      <w:r>
        <w:t xml:space="preserve">If public ingestion fails, field reporting, event records and human review continue; ingestion catches up later.</w:t>
      </w:r>
    </w:p>
    <w:p>
      <w:pPr>
        <w:pStyle w:val="ListParagraph"/>
        <w:numPr>
          <w:ilvl w:val="0"/>
          <w:numId w:val="2"/>
        </w:numPr>
        <w:spacing w:after="60"/>
      </w:pPr>
      <w:r>
        <w:t xml:space="preserve">If AI models fail, raw reports remain visible and reviewable; the system degrades, it does not collapse.</w:t>
      </w:r>
    </w:p>
    <w:p>
      <w:pPr>
        <w:pStyle w:val="ListParagraph"/>
        <w:numPr>
          <w:ilvl w:val="0"/>
          <w:numId w:val="2"/>
        </w:numPr>
        <w:spacing w:after="60"/>
      </w:pPr>
      <w:r>
        <w:t xml:space="preserve">Field devices keep an encrypted offline queue and sync securely when connectivity returns.</w:t>
      </w:r>
    </w:p>
    <w:p>
      <w:pPr>
        <w:pStyle w:val="Heading2"/>
      </w:pPr>
      <w:r>
        <w:t xml:space="preserve">9.5 Dashboard</w:t>
      </w:r>
    </w:p>
    <w:p>
      <w:pPr>
        <w:pStyle w:val="ListParagraph"/>
        <w:numPr>
          <w:ilvl w:val="0"/>
          <w:numId w:val="2"/>
        </w:numPr>
        <w:spacing w:after="60"/>
      </w:pPr>
      <w:r>
        <w:t xml:space="preserve">Situation map: events, clusters, field reports, status.</w:t>
      </w:r>
    </w:p>
    <w:p>
      <w:pPr>
        <w:pStyle w:val="ListParagraph"/>
        <w:numPr>
          <w:ilvl w:val="0"/>
          <w:numId w:val="2"/>
        </w:numPr>
        <w:spacing w:after="60"/>
      </w:pPr>
      <w:r>
        <w:t xml:space="preserve">Priority list: ranked events with evidence strength and last update.</w:t>
      </w:r>
    </w:p>
    <w:p>
      <w:pPr>
        <w:pStyle w:val="ListParagraph"/>
        <w:numPr>
          <w:ilvl w:val="0"/>
          <w:numId w:val="2"/>
        </w:numPr>
        <w:spacing w:after="60"/>
      </w:pPr>
      <w:r>
        <w:t xml:space="preserve">Event detail: evidence, relations, conflicts, assessment, uncertainty.</w:t>
      </w:r>
    </w:p>
    <w:p>
      <w:pPr>
        <w:pStyle w:val="ListParagraph"/>
        <w:numPr>
          <w:ilvl w:val="0"/>
          <w:numId w:val="2"/>
        </w:numPr>
        <w:spacing w:after="60"/>
      </w:pPr>
      <w:r>
        <w:t xml:space="preserve">Evidence timeline: how the event developed.</w:t>
      </w:r>
    </w:p>
    <w:p>
      <w:pPr>
        <w:pStyle w:val="ListParagraph"/>
        <w:numPr>
          <w:ilvl w:val="0"/>
          <w:numId w:val="2"/>
        </w:numPr>
        <w:spacing w:after="60"/>
      </w:pPr>
      <w:r>
        <w:t xml:space="preserve">Verification controls: VERIFY · MARK CONFLICTING · REQUEST MORE EVIDENCE.</w:t>
      </w:r>
    </w:p>
    <w:p>
      <w:pPr>
        <w:pStyle w:val="ListParagraph"/>
        <w:numPr>
          <w:ilvl w:val="0"/>
          <w:numId w:val="2"/>
        </w:numPr>
        <w:spacing w:after="60"/>
      </w:pPr>
      <w:r>
        <w:t xml:space="preserve">AI assistant: questions answered with evidence references only.</w:t>
      </w:r>
    </w:p>
    <w:p>
      <w:pPr>
        <w:pStyle w:val="Heading1"/>
      </w:pPr>
      <w:r>
        <w:t xml:space="preserve">10.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790"/>
        <w:gridCol w:w="3612"/>
      </w:tblGrid>
      <w:tr>
        <w:trPr>
          <w:tblHeader/>
        </w:trPr>
        <w:tc>
          <w:tcPr>
            <w:tcW w:type="dxa" w:w="1624"/>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Layer</w:t>
            </w:r>
          </w:p>
        </w:tc>
        <w:tc>
          <w:tcPr>
            <w:tcW w:type="dxa" w:w="3790"/>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Choice</w:t>
            </w:r>
          </w:p>
        </w:tc>
        <w:tc>
          <w:tcPr>
            <w:tcW w:type="dxa" w:w="3612"/>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Reason</w:t>
            </w:r>
          </w:p>
        </w:tc>
      </w:tr>
      <w:tr>
        <w:tc>
          <w:tcPr>
            <w:tcW w:type="dxa" w:w="162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Frontend</w:t>
            </w:r>
          </w:p>
        </w:tc>
        <w:tc>
          <w:tcPr>
            <w:tcW w:type="dxa" w:w="379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Next.js, React, TypeScript, MapLibre or Leaflet</w:t>
            </w:r>
          </w:p>
        </w:tc>
        <w:tc>
          <w:tcPr>
            <w:tcW w:type="dxa" w:w="361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Familiar stack; good map libraries</w:t>
            </w:r>
          </w:p>
        </w:tc>
      </w:tr>
      <w:tr>
        <w:tc>
          <w:tcPr>
            <w:tcW w:type="dxa" w:w="162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Backend</w:t>
            </w:r>
          </w:p>
        </w:tc>
        <w:tc>
          <w:tcPr>
            <w:tcW w:type="dxa" w:w="379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Python, FastAPI (single backend)</w:t>
            </w:r>
          </w:p>
        </w:tc>
        <w:tc>
          <w:tcPr>
            <w:tcW w:type="dxa" w:w="361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All ML is in Python; one language reduces integration work</w:t>
            </w:r>
          </w:p>
        </w:tc>
      </w:tr>
      <w:tr>
        <w:tc>
          <w:tcPr>
            <w:tcW w:type="dxa" w:w="162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Jobs / queue</w:t>
            </w:r>
          </w:p>
        </w:tc>
        <w:tc>
          <w:tcPr>
            <w:tcW w:type="dxa" w:w="379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Redis + Celery or RQ</w:t>
            </w:r>
          </w:p>
        </w:tc>
        <w:tc>
          <w:tcPr>
            <w:tcW w:type="dxa" w:w="361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Background ingestion and model inference</w:t>
            </w:r>
          </w:p>
        </w:tc>
      </w:tr>
      <w:tr>
        <w:tc>
          <w:tcPr>
            <w:tcW w:type="dxa" w:w="162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Database</w:t>
            </w:r>
          </w:p>
        </w:tc>
        <w:tc>
          <w:tcPr>
            <w:tcW w:type="dxa" w:w="379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PostgreSQL + PostGIS + pgvector</w:t>
            </w:r>
          </w:p>
        </w:tc>
        <w:tc>
          <w:tcPr>
            <w:tcW w:type="dxa" w:w="361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Relational, spatial and vector search in one database</w:t>
            </w:r>
          </w:p>
        </w:tc>
      </w:tr>
      <w:tr>
        <w:tc>
          <w:tcPr>
            <w:tcW w:type="dxa" w:w="162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Media storage</w:t>
            </w:r>
          </w:p>
        </w:tc>
        <w:tc>
          <w:tcPr>
            <w:tcW w:type="dxa" w:w="379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S3-compatible object storage (e.g., MinIO)</w:t>
            </w:r>
          </w:p>
        </w:tc>
        <w:tc>
          <w:tcPr>
            <w:tcW w:type="dxa" w:w="361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Photos, video, audio with hashes</w:t>
            </w:r>
          </w:p>
        </w:tc>
      </w:tr>
      <w:tr>
        <w:tc>
          <w:tcPr>
            <w:tcW w:type="dxa" w:w="162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ML</w:t>
            </w:r>
          </w:p>
        </w:tc>
        <w:tc>
          <w:tcPr>
            <w:tcW w:type="dxa" w:w="379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PyTorch, Hugging Face, sentence-transformers, Whisper-family ASR, OCR</w:t>
            </w:r>
          </w:p>
        </w:tc>
        <w:tc>
          <w:tcPr>
            <w:tcW w:type="dxa" w:w="361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Standard, well-supported tools</w:t>
            </w:r>
          </w:p>
        </w:tc>
      </w:tr>
      <w:tr>
        <w:tc>
          <w:tcPr>
            <w:tcW w:type="dxa" w:w="162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Field app</w:t>
            </w:r>
          </w:p>
        </w:tc>
        <w:tc>
          <w:tcPr>
            <w:tcW w:type="dxa" w:w="379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Progressive web app first (offline-capable)</w:t>
            </w:r>
          </w:p>
        </w:tc>
        <w:tc>
          <w:tcPr>
            <w:tcW w:type="dxa" w:w="361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One codebase; native app later if needed</w:t>
            </w:r>
          </w:p>
        </w:tc>
      </w:tr>
      <w:tr>
        <w:tc>
          <w:tcPr>
            <w:tcW w:type="dxa" w:w="162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Infrastructure</w:t>
            </w:r>
          </w:p>
        </w:tc>
        <w:tc>
          <w:tcPr>
            <w:tcW w:type="dxa" w:w="379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Docker, Docker Compose, GitHub Actions CI, Linux server</w:t>
            </w:r>
          </w:p>
        </w:tc>
        <w:tc>
          <w:tcPr>
            <w:tcW w:type="dxa" w:w="361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Simple, reproducible deployment</w:t>
            </w:r>
          </w:p>
        </w:tc>
      </w:tr>
    </w:tbl>
    <w:p>
      <w:pPr>
        <w:spacing w:after="120"/>
      </w:pPr>
    </w:p>
    <w:p>
      <w:pPr>
        <w:pStyle w:val="Heading1"/>
      </w:pPr>
      <w:r>
        <w:t xml:space="preserve">11. Security and Threat Model</w:t>
      </w:r>
    </w:p>
    <w:p>
      <w:pPr>
        <w:pStyle w:val="Heading2"/>
      </w:pPr>
      <w:r>
        <w:t xml:space="preserve">11.1 Threats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249"/>
        <w:gridCol w:w="3792"/>
      </w:tblGrid>
      <w:tr>
        <w:trPr>
          <w:tblHeader/>
        </w:trPr>
        <w:tc>
          <w:tcPr>
            <w:tcW w:type="dxa" w:w="198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Threat</w:t>
            </w:r>
          </w:p>
        </w:tc>
        <w:tc>
          <w:tcPr>
            <w:tcW w:type="dxa" w:w="3249"/>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Example</w:t>
            </w:r>
          </w:p>
        </w:tc>
        <w:tc>
          <w:tcPr>
            <w:tcW w:type="dxa" w:w="3792"/>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Main defenses</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External attacker</w:t>
            </w:r>
          </w:p>
        </w:tc>
        <w:tc>
          <w:tcPr>
            <w:tcW w:type="dxa" w:w="324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API abuse, credential theft, ingestion flooding</w:t>
            </w:r>
          </w:p>
        </w:tc>
        <w:tc>
          <w:tcPr>
            <w:tcW w:type="dxa" w:w="379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Auth, rate limiting, input validation, WAF (later)</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Compromised field account</w:t>
            </w:r>
          </w:p>
        </w:tc>
        <w:tc>
          <w:tcPr>
            <w:tcW w:type="dxa" w:w="324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Fake reports from a valid account</w:t>
            </w:r>
          </w:p>
        </w:tc>
        <w:tc>
          <w:tcPr>
            <w:tcW w:type="dxa" w:w="379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Device binding, signed reports, revocation, behaviour checks, human review</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Malicious public source</w:t>
            </w:r>
          </w:p>
        </w:tc>
        <w:tc>
          <w:tcPr>
            <w:tcW w:type="dxa" w:w="324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False claims, coordinated copies, manipulated media</w:t>
            </w:r>
          </w:p>
        </w:tc>
        <w:tc>
          <w:tcPr>
            <w:tcW w:type="dxa" w:w="379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Source-dependence modelling, conflict detection, media hashing, human review</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Prompt injection</w:t>
            </w:r>
          </w:p>
        </w:tc>
        <w:tc>
          <w:tcPr>
            <w:tcW w:type="dxa" w:w="324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Instructions hidden in web content</w:t>
            </w:r>
          </w:p>
        </w:tc>
        <w:tc>
          <w:tcPr>
            <w:tcW w:type="dxa" w:w="379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Untrusted-data boundary, no privileged tool access for LLMs</w:t>
            </w:r>
          </w:p>
        </w:tc>
      </w:tr>
      <w:tr>
        <w:tc>
          <w:tcPr>
            <w:tcW w:type="dxa" w:w="198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Insider misuse</w:t>
            </w:r>
          </w:p>
        </w:tc>
        <w:tc>
          <w:tcPr>
            <w:tcW w:type="dxa" w:w="324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Authorized user abuses access</w:t>
            </w:r>
          </w:p>
        </w:tc>
        <w:tc>
          <w:tcPr>
            <w:tcW w:type="dxa" w:w="3792"/>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RBAC, least privilege, append-only audit log</w:t>
            </w:r>
          </w:p>
        </w:tc>
      </w:tr>
      <w:tr>
        <w:tc>
          <w:tcPr>
            <w:tcW w:type="dxa" w:w="198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AI failure</w:t>
            </w:r>
          </w:p>
        </w:tc>
        <w:tc>
          <w:tcPr>
            <w:tcW w:type="dxa" w:w="324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False correlation, wrong confidence, hallucinated summary</w:t>
            </w:r>
          </w:p>
        </w:tc>
        <w:tc>
          <w:tcPr>
            <w:tcW w:type="dxa" w:w="3792"/>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Calibration, evidence-referenced outputs, human verification</w:t>
            </w:r>
          </w:p>
        </w:tc>
      </w:tr>
    </w:tbl>
    <w:p>
      <w:pPr>
        <w:spacing w:after="120"/>
      </w:pPr>
    </w:p>
    <w:p>
      <w:pPr>
        <w:pStyle w:val="Heading2"/>
      </w:pPr>
      <w:r>
        <w:t xml:space="preserve">11.2 Security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5"/>
        <w:gridCol w:w="6951"/>
      </w:tblGrid>
      <w:tr>
        <w:trPr>
          <w:tblHeader/>
        </w:trPr>
        <w:tc>
          <w:tcPr>
            <w:tcW w:type="dxa" w:w="207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Stage</w:t>
            </w:r>
          </w:p>
        </w:tc>
        <w:tc>
          <w:tcPr>
            <w:tcW w:type="dxa" w:w="6951"/>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Controls</w:t>
            </w:r>
          </w:p>
        </w:tc>
      </w:tr>
      <w:tr>
        <w:tc>
          <w:tcPr>
            <w:tcW w:type="dxa" w:w="207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MVP (build first)</w:t>
            </w:r>
          </w:p>
        </w:tc>
        <w:tc>
          <w:tcPr>
            <w:tcW w:type="dxa" w:w="695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Passkeys/MFA, RBAC, HTTPS, hashed + signed field reports, append-only audit log, rate limiting, secrets in environment/secret store, encrypted offline queue</w:t>
            </w:r>
          </w:p>
        </w:tc>
      </w:tr>
      <w:tr>
        <w:tc>
          <w:tcPr>
            <w:tcW w:type="dxa" w:w="207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Deployment hardening</w:t>
            </w:r>
          </w:p>
        </w:tc>
        <w:tc>
          <w:tcPr>
            <w:tcW w:type="dxa" w:w="695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Encryption at rest, device management and revocation, backups and recovery, monitoring and alerting, network segmentation</w:t>
            </w:r>
          </w:p>
        </w:tc>
      </w:tr>
      <w:tr>
        <w:tc>
          <w:tcPr>
            <w:tcW w:type="dxa" w:w="207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Later</w:t>
            </w:r>
          </w:p>
        </w:tc>
        <w:tc>
          <w:tcPr>
            <w:tcW w:type="dxa" w:w="695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WAF, ABAC, formal incident-response runbook, external security review</w:t>
            </w:r>
          </w:p>
        </w:tc>
      </w:tr>
    </w:tbl>
    <w:p>
      <w:pPr>
        <w:spacing w:after="120"/>
      </w:pPr>
    </w:p>
    <w:p>
      <w:pPr>
        <w:pStyle w:val="Heading1"/>
      </w:pPr>
      <w:r>
        <w:t xml:space="preserve">12. Dataset: CARCUX-BD</w:t>
      </w:r>
    </w:p>
    <w:p>
      <w:pPr>
        <w:pStyle w:val="Heading2"/>
      </w:pPr>
      <w:r>
        <w:t xml:space="preserve">12.1 Data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5"/>
        <w:gridCol w:w="3790"/>
        <w:gridCol w:w="3161"/>
      </w:tblGrid>
      <w:tr>
        <w:trPr>
          <w:tblHeader/>
        </w:trPr>
        <w:tc>
          <w:tcPr>
            <w:tcW w:type="dxa" w:w="207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Layer</w:t>
            </w:r>
          </w:p>
        </w:tc>
        <w:tc>
          <w:tcPr>
            <w:tcW w:type="dxa" w:w="3790"/>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Source</w:t>
            </w:r>
          </w:p>
        </w:tc>
        <w:tc>
          <w:tcPr>
            <w:tcW w:type="dxa" w:w="3161"/>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Purpose</w:t>
            </w:r>
          </w:p>
        </w:tc>
      </w:tr>
      <w:tr>
        <w:tc>
          <w:tcPr>
            <w:tcW w:type="dxa" w:w="207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L1 Public benchmarks</w:t>
            </w:r>
          </w:p>
        </w:tc>
        <w:tc>
          <w:tcPr>
            <w:tcW w:type="dxa" w:w="379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CrisisFACTS, TREC-IS, CrisisMMD, HumAID</w:t>
            </w:r>
          </w:p>
        </w:tc>
        <w:tc>
          <w:tcPr>
            <w:tcW w:type="dxa" w:w="316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Comparable results; pretraining and baselines</w:t>
            </w:r>
          </w:p>
        </w:tc>
      </w:tr>
      <w:tr>
        <w:tc>
          <w:tcPr>
            <w:tcW w:type="dxa" w:w="207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L2 Reconstructed BD events</w:t>
            </w:r>
          </w:p>
        </w:tc>
        <w:tc>
          <w:tcPr>
            <w:tcW w:type="dxa" w:w="379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Bangla and English news archives, public posts, public video metadata about past Bangladesh events</w:t>
            </w:r>
          </w:p>
        </w:tc>
        <w:tc>
          <w:tcPr>
            <w:tcW w:type="dxa" w:w="316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Core of CARCUX-BD; real conflicting and duplicated coverage</w:t>
            </w:r>
          </w:p>
        </w:tc>
      </w:tr>
      <w:tr>
        <w:tc>
          <w:tcPr>
            <w:tcW w:type="dxa" w:w="207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L3 Simulated field reports</w:t>
            </w:r>
          </w:p>
        </w:tc>
        <w:tc>
          <w:tcPr>
            <w:tcW w:type="dxa" w:w="379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Generated only from the verified ground truth of L2 events</w:t>
            </w:r>
          </w:p>
        </w:tc>
        <w:tc>
          <w:tcPr>
            <w:tcW w:type="dxa" w:w="316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Field branch evaluation without real field data</w:t>
            </w:r>
          </w:p>
        </w:tc>
      </w:tr>
      <w:tr>
        <w:tc>
          <w:tcPr>
            <w:tcW w:type="dxa" w:w="207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L4 Controlled contamination</w:t>
            </w:r>
          </w:p>
        </w:tc>
        <w:tc>
          <w:tcPr>
            <w:tcW w:type="dxa" w:w="379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Injected duplicates, contradictions, stale and false reports</w:t>
            </w:r>
          </w:p>
        </w:tc>
        <w:tc>
          <w:tcPr>
            <w:tcW w:type="dxa" w:w="3161"/>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Robustness experiments (RQ4)</w:t>
            </w:r>
          </w:p>
        </w:tc>
      </w:tr>
      <w:tr>
        <w:tc>
          <w:tcPr>
            <w:tcW w:type="dxa" w:w="207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L5 Real field data (optional)</w:t>
            </w:r>
          </w:p>
        </w:tc>
        <w:tc>
          <w:tcPr>
            <w:tcW w:type="dxa" w:w="379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Authorized reports, if an MP office arrangement becomes possible</w:t>
            </w:r>
          </w:p>
        </w:tc>
        <w:tc>
          <w:tcPr>
            <w:tcW w:type="dxa" w:w="3161"/>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Additional real-world validation; slots in without changing the design</w:t>
            </w:r>
          </w:p>
        </w:tc>
      </w:tr>
    </w:tbl>
    <w:p>
      <w:pPr>
        <w:spacing w:after="120"/>
      </w:pPr>
    </w:p>
    <w:p>
      <w:pPr>
        <w:pStyle w:val="Heading2"/>
      </w:pPr>
      <w:r>
        <w:t xml:space="preserve">12.2 Event selection</w:t>
      </w:r>
    </w:p>
    <w:p>
      <w:pPr>
        <w:pStyle w:val="ListParagraph"/>
        <w:numPr>
          <w:ilvl w:val="0"/>
          <w:numId w:val="2"/>
        </w:numPr>
        <w:spacing w:after="60"/>
      </w:pPr>
      <w:r>
        <w:t xml:space="preserve">Start with 20–30 past Bangladesh events across the three event families.</w:t>
      </w:r>
    </w:p>
    <w:p>
      <w:pPr>
        <w:pStyle w:val="ListParagraph"/>
        <w:numPr>
          <w:ilvl w:val="0"/>
          <w:numId w:val="2"/>
        </w:numPr>
        <w:spacing w:after="60"/>
      </w:pPr>
      <w:r>
        <w:t xml:space="preserve">Each event needs: known outcome (ground truth), coverage from several independent outlets, at least some public posts, and a clear location and time window.</w:t>
      </w:r>
    </w:p>
    <w:p>
      <w:pPr>
        <w:pStyle w:val="ListParagraph"/>
        <w:numPr>
          <w:ilvl w:val="0"/>
          <w:numId w:val="2"/>
        </w:numPr>
        <w:spacing w:after="60"/>
      </w:pPr>
      <w:r>
        <w:t xml:space="preserve">Mix of easy (well-covered) and hard (conflicting, sparse) events.</w:t>
      </w:r>
    </w:p>
    <w:p>
      <w:pPr>
        <w:pStyle w:val="ListParagraph"/>
        <w:numPr>
          <w:ilvl w:val="0"/>
          <w:numId w:val="2"/>
        </w:numPr>
        <w:spacing w:after="60"/>
      </w:pPr>
      <w:r>
        <w:t xml:space="preserve">Feasibility check first: count available sources per event before annotating.</w:t>
      </w:r>
    </w:p>
    <w:p>
      <w:pPr>
        <w:pStyle w:val="Heading2"/>
      </w:pPr>
      <w:r>
        <w:t xml:space="preserve">12.3 Avoiding circularity in simulated field reports</w:t>
      </w:r>
    </w:p>
    <w:p>
      <w:pPr>
        <w:spacing w:after="120"/>
      </w:pPr>
      <w:r>
        <w:t xml:space="preserve">Simulated field reports are derived only from facts confirmed after the event (official reports, follow-up coverage). Noise is injected with documented parameters (location error, time delay, scale error, omission). The paper reports results with and without simulated field reports, and states the limitation explicitly.</w:t>
      </w:r>
    </w:p>
    <w:p>
      <w:pPr>
        <w:pStyle w:val="Heading2"/>
      </w:pPr>
      <w:r>
        <w:t xml:space="preserve">12.4 Schema (first shared deliverable)</w:t>
      </w:r>
    </w:p>
    <w:p>
      <w:pPr>
        <w:shd w:fill="F4F6F8" w:color="auto" w:val="clear"/>
        <w:spacing w:after="0" w:before="60"/>
        <w:ind w:left="200" w:right="200"/>
      </w:pPr>
      <w:r>
        <w:rPr>
          <w:rFonts w:ascii="Consolas" w:cs="Consolas" w:eastAsia="Consolas" w:hAnsi="Consolas"/>
          <w:sz w:val="18"/>
          <w:szCs w:val="18"/>
        </w:rPr>
        <w:t xml:space="preserve">event:        event_id, family, type, location (geometry), start, end,</w:t>
      </w:r>
    </w:p>
    <w:p>
      <w:pPr>
        <w:shd w:fill="F4F6F8" w:color="auto" w:val="clear"/>
        <w:spacing w:after="0" w:before="0"/>
        <w:ind w:left="200" w:right="200"/>
      </w:pPr>
      <w:r>
        <w:rPr>
          <w:rFonts w:ascii="Consolas" w:cs="Consolas" w:eastAsia="Consolas" w:hAnsi="Consolas"/>
          <w:sz w:val="18"/>
          <w:szCs w:val="18"/>
        </w:rPr>
        <w:t xml:space="preserve">              ground_truth_status, ground_truth_sources</w:t>
      </w:r>
    </w:p>
    <w:p>
      <w:pPr>
        <w:shd w:fill="F4F6F8" w:color="auto" w:val="clear"/>
        <w:spacing w:after="0" w:before="0"/>
        <w:ind w:left="200" w:right="200"/>
      </w:pPr>
      <w:r>
        <w:rPr>
          <w:rFonts w:ascii="Consolas" w:cs="Consolas" w:eastAsia="Consolas" w:hAnsi="Consolas"/>
          <w:sz w:val="18"/>
          <w:szCs w:val="18"/>
        </w:rPr>
        <w:t xml:space="preserve">observation:  obs_id, source_id, source_type, modality, url/reference,</w:t>
      </w:r>
    </w:p>
    <w:p>
      <w:pPr>
        <w:shd w:fill="F4F6F8" w:color="auto" w:val="clear"/>
        <w:spacing w:after="0" w:before="0"/>
        <w:ind w:left="200" w:right="200"/>
      </w:pPr>
      <w:r>
        <w:rPr>
          <w:rFonts w:ascii="Consolas" w:cs="Consolas" w:eastAsia="Consolas" w:hAnsi="Consolas"/>
          <w:sz w:val="18"/>
          <w:szCs w:val="18"/>
        </w:rPr>
        <w:t xml:space="preserve">              published_at, observed_at, location, language, extracted_claims</w:t>
      </w:r>
    </w:p>
    <w:p>
      <w:pPr>
        <w:shd w:fill="F4F6F8" w:color="auto" w:val="clear"/>
        <w:spacing w:after="0" w:before="0"/>
        <w:ind w:left="200" w:right="200"/>
      </w:pPr>
      <w:r>
        <w:rPr>
          <w:rFonts w:ascii="Consolas" w:cs="Consolas" w:eastAsia="Consolas" w:hAnsi="Consolas"/>
          <w:sz w:val="18"/>
          <w:szCs w:val="18"/>
        </w:rPr>
        <w:t xml:space="preserve">relation:     obs_id, event_id, label (SUPPORTS/CONTRADICTS/DUPLICATES/</w:t>
      </w:r>
    </w:p>
    <w:p>
      <w:pPr>
        <w:shd w:fill="F4F6F8" w:color="auto" w:val="clear"/>
        <w:spacing w:after="0" w:before="0"/>
        <w:ind w:left="200" w:right="200"/>
      </w:pPr>
      <w:r>
        <w:rPr>
          <w:rFonts w:ascii="Consolas" w:cs="Consolas" w:eastAsia="Consolas" w:hAnsi="Consolas"/>
          <w:sz w:val="18"/>
          <w:szCs w:val="18"/>
        </w:rPr>
        <w:t xml:space="preserve">              RELATED/UNRELATED), conflict_attributes, annotator, confidence</w:t>
      </w:r>
    </w:p>
    <w:p>
      <w:pPr>
        <w:shd w:fill="F4F6F8" w:color="auto" w:val="clear"/>
        <w:spacing w:after="0" w:before="0"/>
        <w:ind w:left="200" w:right="200"/>
      </w:pPr>
      <w:r>
        <w:rPr>
          <w:rFonts w:ascii="Consolas" w:cs="Consolas" w:eastAsia="Consolas" w:hAnsi="Consolas"/>
          <w:sz w:val="18"/>
          <w:szCs w:val="18"/>
        </w:rPr>
        <w:t xml:space="preserve">dependence:   obs_id, origin_obs_id, type (copy/repost/rewrite/cite)</w:t>
      </w:r>
    </w:p>
    <w:p>
      <w:pPr>
        <w:shd w:fill="F4F6F8" w:color="auto" w:val="clear"/>
        <w:spacing w:after="0" w:before="0"/>
        <w:ind w:left="200" w:right="200"/>
      </w:pPr>
      <w:r>
        <w:rPr>
          <w:rFonts w:ascii="Consolas" w:cs="Consolas" w:eastAsia="Consolas" w:hAnsi="Consolas"/>
          <w:sz w:val="18"/>
          <w:szCs w:val="18"/>
        </w:rPr>
        <w:t xml:space="preserve">source:       source_id, type, outlet, reliability_notes (no personal data)</w:t>
      </w:r>
    </w:p>
    <w:p>
      <w:pPr>
        <w:spacing w:after="120"/>
      </w:pPr>
    </w:p>
    <w:p>
      <w:pPr>
        <w:pStyle w:val="Heading2"/>
      </w:pPr>
      <w:r>
        <w:t xml:space="preserve">12.5 Annotation</w:t>
      </w:r>
    </w:p>
    <w:p>
      <w:pPr>
        <w:pStyle w:val="ListParagraph"/>
        <w:numPr>
          <w:ilvl w:val="0"/>
          <w:numId w:val="2"/>
        </w:numPr>
        <w:spacing w:after="60"/>
      </w:pPr>
      <w:r>
        <w:t xml:space="preserve">Written annotation guideline with examples for every label, maintained in the repository.</w:t>
      </w:r>
    </w:p>
    <w:p>
      <w:pPr>
        <w:pStyle w:val="ListParagraph"/>
        <w:numPr>
          <w:ilvl w:val="0"/>
          <w:numId w:val="2"/>
        </w:numPr>
        <w:spacing w:after="60"/>
      </w:pPr>
      <w:r>
        <w:t xml:space="preserve">At least two annotators per item for a subset; measure agreement with Cohen’s kappa or Krippendorff’s alpha.</w:t>
      </w:r>
    </w:p>
    <w:p>
      <w:pPr>
        <w:pStyle w:val="ListParagraph"/>
        <w:numPr>
          <w:ilvl w:val="0"/>
          <w:numId w:val="2"/>
        </w:numPr>
        <w:spacing w:after="60"/>
      </w:pPr>
      <w:r>
        <w:t xml:space="preserve">Disagreements resolved by discussion and recorded; the guideline is updated.</w:t>
      </w:r>
    </w:p>
    <w:p>
      <w:pPr>
        <w:pStyle w:val="ListParagraph"/>
        <w:numPr>
          <w:ilvl w:val="0"/>
          <w:numId w:val="2"/>
        </w:numPr>
        <w:spacing w:after="60"/>
      </w:pPr>
      <w:r>
        <w:t xml:space="preserve">Annotation confidence stored per label.</w:t>
      </w:r>
    </w:p>
    <w:p>
      <w:pPr>
        <w:pStyle w:val="Heading2"/>
      </w:pPr>
      <w:r>
        <w:t xml:space="preserve">12.6 Copyright, privacy and release</w:t>
      </w:r>
    </w:p>
    <w:p>
      <w:pPr>
        <w:pStyle w:val="ListParagraph"/>
        <w:numPr>
          <w:ilvl w:val="0"/>
          <w:numId w:val="2"/>
        </w:numPr>
        <w:spacing w:after="60"/>
      </w:pPr>
      <w:r>
        <w:t xml:space="preserve">Store URLs, metadata, extracted claims and derived features; avoid redistributing full copyrighted articles or media.</w:t>
      </w:r>
    </w:p>
    <w:p>
      <w:pPr>
        <w:pStyle w:val="ListParagraph"/>
        <w:numPr>
          <w:ilvl w:val="0"/>
          <w:numId w:val="2"/>
        </w:numPr>
        <w:spacing w:after="60"/>
      </w:pPr>
      <w:r>
        <w:t xml:space="preserve">Respect platform terms; use only public, permitted content.</w:t>
      </w:r>
    </w:p>
    <w:p>
      <w:pPr>
        <w:pStyle w:val="ListParagraph"/>
        <w:numPr>
          <w:ilvl w:val="0"/>
          <w:numId w:val="2"/>
        </w:numPr>
        <w:spacing w:after="60"/>
      </w:pPr>
      <w:r>
        <w:t xml:space="preserve">No personal identifiers beyond what is needed; no individual profiling. Unit of analysis is event + evidence.</w:t>
      </w:r>
    </w:p>
    <w:p>
      <w:pPr>
        <w:pStyle w:val="ListParagraph"/>
        <w:numPr>
          <w:ilvl w:val="0"/>
          <w:numId w:val="2"/>
        </w:numPr>
        <w:spacing w:after="60"/>
      </w:pPr>
      <w:r>
        <w:t xml:space="preserve">Release with a dataset card describing collection, labels, limitations and intended use.</w:t>
      </w:r>
    </w:p>
    <w:p>
      <w:pPr>
        <w:pStyle w:val="Heading1"/>
      </w:pPr>
      <w:r>
        <w:t xml:space="preserve">13. Experimental Framework</w:t>
      </w:r>
    </w:p>
    <w:p>
      <w:pPr>
        <w:pStyle w:val="Heading2"/>
      </w:pPr>
      <w:r>
        <w:t xml:space="preserve">13.1 Baselines and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System</w:t>
            </w:r>
          </w:p>
        </w:tc>
        <w:tc>
          <w:tcPr>
            <w:tcW w:type="dxa" w:w="6138"/>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Description</w:t>
            </w:r>
          </w:p>
        </w:tc>
      </w:tr>
      <w:tr>
        <w:tc>
          <w:tcPr>
            <w:tcW w:type="dxa" w:w="288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B1 Text-only correlation</w:t>
            </w:r>
          </w:p>
        </w:tc>
        <w:tc>
          <w:tcPr>
            <w:tcW w:type="dxa" w:w="61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Semantic similarity clustering only</w:t>
            </w:r>
          </w:p>
        </w:tc>
      </w:tr>
      <w:tr>
        <w:tc>
          <w:tcPr>
            <w:tcW w:type="dxa" w:w="288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B2 Text + space + time (separate)</w:t>
            </w:r>
          </w:p>
        </w:tc>
        <w:tc>
          <w:tcPr>
            <w:tcW w:type="dxa" w:w="613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Semantic clustering, then rule-based spatial/temporal filters</w:t>
            </w:r>
          </w:p>
        </w:tc>
      </w:tr>
      <w:tr>
        <w:tc>
          <w:tcPr>
            <w:tcW w:type="dxa" w:w="288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B3 Majority vote</w:t>
            </w:r>
          </w:p>
        </w:tc>
        <w:tc>
          <w:tcPr>
            <w:tcW w:type="dxa" w:w="61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Each observation counts equally</w:t>
            </w:r>
          </w:p>
        </w:tc>
      </w:tr>
      <w:tr>
        <w:tc>
          <w:tcPr>
            <w:tcW w:type="dxa" w:w="288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B4 Equal-weight fusion</w:t>
            </w:r>
          </w:p>
        </w:tc>
        <w:tc>
          <w:tcPr>
            <w:tcW w:type="dxa" w:w="613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All sources weighted equally, no dependence modelling</w:t>
            </w:r>
          </w:p>
        </w:tc>
      </w:tr>
      <w:tr>
        <w:tc>
          <w:tcPr>
            <w:tcW w:type="dxa" w:w="288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B5 Truth-discovery baseline</w:t>
            </w:r>
          </w:p>
        </w:tc>
        <w:tc>
          <w:tcPr>
            <w:tcW w:type="dxa" w:w="61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Established reliability-weighted truth discovery method</w:t>
            </w:r>
          </w:p>
        </w:tc>
      </w:tr>
      <w:tr>
        <w:tc>
          <w:tcPr>
            <w:tcW w:type="dxa" w:w="288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B6 LLM baseline</w:t>
            </w:r>
          </w:p>
        </w:tc>
        <w:tc>
          <w:tcPr>
            <w:tcW w:type="dxa" w:w="613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LLM given the observations, asked for clusters and assessment</w:t>
            </w:r>
          </w:p>
        </w:tc>
      </w:tr>
      <w:tr>
        <w:tc>
          <w:tcPr>
            <w:tcW w:type="dxa" w:w="288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Proposed CARCUX</w:t>
            </w:r>
          </w:p>
        </w:tc>
        <w:tc>
          <w:tcPr>
            <w:tcW w:type="dxa" w:w="613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Joint spatiotemporal correlation + source dependence + conflict detection + calibrated aggregation</w:t>
            </w:r>
          </w:p>
        </w:tc>
      </w:tr>
    </w:tbl>
    <w:p>
      <w:pPr>
        <w:spacing w:after="120"/>
      </w:pPr>
    </w:p>
    <w:p>
      <w:pPr>
        <w:pStyle w:val="Heading2"/>
      </w:pPr>
      <w:r>
        <w:t xml:space="preserve">13.2 Ablations</w:t>
      </w:r>
    </w:p>
    <w:p>
      <w:pPr>
        <w:spacing w:after="120"/>
      </w:pPr>
      <w:r>
        <w:t xml:space="preserve">Remove one component at a time from the full system: spatial features, temporal features, source-dependence modelling, conflict detection, calibration, field reports.</w:t>
      </w:r>
    </w:p>
    <w:p>
      <w:pPr>
        <w:pStyle w:val="Heading2"/>
      </w:pPr>
      <w:r>
        <w:t xml:space="preserve">13.3 Robustness</w:t>
      </w:r>
    </w:p>
    <w:p>
      <w:pPr>
        <w:spacing w:after="120"/>
      </w:pPr>
      <w:r>
        <w:t xml:space="preserve">Contaminate the public stream at 0%, 5%, 10%, 20%, 40% and 60% with four noise types, separately and combined: duplicate floods (copied posts), contradictions, stale reports, and false events. Report degradation curves for every baseline and the proposed system.</w:t>
      </w:r>
    </w:p>
    <w:p>
      <w:pPr>
        <w:pStyle w:val="Heading2"/>
      </w:pPr>
      <w:r>
        <w:t xml:space="preserve">13.4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Task</w:t>
            </w:r>
          </w:p>
        </w:tc>
        <w:tc>
          <w:tcPr>
            <w:tcW w:type="dxa" w:w="6770"/>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Metrics</w:t>
            </w:r>
          </w:p>
        </w:tc>
      </w:tr>
      <w:tr>
        <w:tc>
          <w:tcPr>
            <w:tcW w:type="dxa" w:w="225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Event correlation</w:t>
            </w:r>
          </w:p>
        </w:tc>
        <w:tc>
          <w:tcPr>
            <w:tcW w:type="dxa" w:w="677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Pairwise precision / recall / F1, B-cubed, adjusted Rand index</w:t>
            </w:r>
          </w:p>
        </w:tc>
      </w:tr>
      <w:tr>
        <w:tc>
          <w:tcPr>
            <w:tcW w:type="dxa" w:w="225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Relation labelling</w:t>
            </w:r>
          </w:p>
        </w:tc>
        <w:tc>
          <w:tcPr>
            <w:tcW w:type="dxa" w:w="677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Macro-F1 per label, confusion matrix</w:t>
            </w:r>
          </w:p>
        </w:tc>
      </w:tr>
      <w:tr>
        <w:tc>
          <w:tcPr>
            <w:tcW w:type="dxa" w:w="225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Verification</w:t>
            </w:r>
          </w:p>
        </w:tc>
        <w:tc>
          <w:tcPr>
            <w:tcW w:type="dxa" w:w="677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Accuracy, macro-F1</w:t>
            </w:r>
          </w:p>
        </w:tc>
      </w:tr>
      <w:tr>
        <w:tc>
          <w:tcPr>
            <w:tcW w:type="dxa" w:w="225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Calibration</w:t>
            </w:r>
          </w:p>
        </w:tc>
        <w:tc>
          <w:tcPr>
            <w:tcW w:type="dxa" w:w="677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Expected calibration error (ECE), Brier score, reliability diagrams</w:t>
            </w:r>
          </w:p>
        </w:tc>
      </w:tr>
      <w:tr>
        <w:tc>
          <w:tcPr>
            <w:tcW w:type="dxa" w:w="225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Robustness</w:t>
            </w:r>
          </w:p>
        </w:tc>
        <w:tc>
          <w:tcPr>
            <w:tcW w:type="dxa" w:w="677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Performance drop vs contamination level, false-positive increase</w:t>
            </w:r>
          </w:p>
        </w:tc>
      </w:tr>
      <w:tr>
        <w:tc>
          <w:tcPr>
            <w:tcW w:type="dxa" w:w="225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Timeliness</w:t>
            </w:r>
          </w:p>
        </w:tc>
        <w:tc>
          <w:tcPr>
            <w:tcW w:type="dxa" w:w="677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Time-to-detection, time-to-correct-assessment</w:t>
            </w:r>
          </w:p>
        </w:tc>
      </w:tr>
      <w:tr>
        <w:tc>
          <w:tcPr>
            <w:tcW w:type="dxa" w:w="225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System</w:t>
            </w:r>
          </w:p>
        </w:tc>
        <w:tc>
          <w:tcPr>
            <w:tcW w:type="dxa" w:w="677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Latency, throughput (reported, not a research claim)</w:t>
            </w:r>
          </w:p>
        </w:tc>
      </w:tr>
    </w:tbl>
    <w:p>
      <w:pPr>
        <w:spacing w:after="120"/>
      </w:pPr>
    </w:p>
    <w:p>
      <w:pPr>
        <w:pStyle w:val="Heading2"/>
      </w:pPr>
      <w:r>
        <w:t xml:space="preserve">13.5 Statistical rigour and failure analysis</w:t>
      </w:r>
    </w:p>
    <w:p>
      <w:pPr>
        <w:spacing w:after="120"/>
      </w:pPr>
      <w:r>
        <w:t xml:space="preserve">Multiple random seeds, confidence intervals, and significance tests for key comparisons. A failure analysis section covers wrong clustering, wrong geocoding, copies treated as independent, missed events, Banglish errors, and miscalibrated confidence.</w:t>
      </w:r>
    </w:p>
    <w:p>
      <w:pPr>
        <w:pStyle w:val="Heading1"/>
      </w:pPr>
      <w:r>
        <w:t xml:space="preserve">14. Three Parallel Tracks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888"/>
        <w:gridCol w:w="2437"/>
        <w:gridCol w:w="2348"/>
      </w:tblGrid>
      <w:tr>
        <w:trPr>
          <w:tblHeader/>
        </w:trPr>
        <w:tc>
          <w:tcPr>
            <w:tcW w:type="dxa" w:w="1353"/>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Track</w:t>
            </w:r>
          </w:p>
        </w:tc>
        <w:tc>
          <w:tcPr>
            <w:tcW w:type="dxa" w:w="2888"/>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Can start now</w:t>
            </w:r>
          </w:p>
        </w:tc>
        <w:tc>
          <w:tcPr>
            <w:tcW w:type="dxa" w:w="2437"/>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Depends on</w:t>
            </w:r>
          </w:p>
        </w:tc>
        <w:tc>
          <w:tcPr>
            <w:tcW w:type="dxa" w:w="2348"/>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Feeds into</w:t>
            </w:r>
          </w:p>
        </w:tc>
      </w:tr>
      <w:tr>
        <w:tc>
          <w:tcPr>
            <w:tcW w:type="dxa" w:w="135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1. Code</w:t>
            </w:r>
          </w:p>
        </w:tc>
        <w:tc>
          <w:tcPr>
            <w:tcW w:type="dxa" w:w="288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Backend skeleton, auth, field reports, PostGIS, ingestion collectors</w:t>
            </w:r>
          </w:p>
        </w:tc>
        <w:tc>
          <w:tcPr>
            <w:tcW w:type="dxa" w:w="243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Dataset schema (event/evidence tables)</w:t>
            </w:r>
          </w:p>
        </w:tc>
        <w:tc>
          <w:tcPr>
            <w:tcW w:type="dxa" w:w="234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Baselines and fusion model → experiments</w:t>
            </w:r>
          </w:p>
        </w:tc>
      </w:tr>
      <w:tr>
        <w:tc>
          <w:tcPr>
            <w:tcW w:type="dxa" w:w="1353"/>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2. Dataset</w:t>
            </w:r>
          </w:p>
        </w:tc>
        <w:tc>
          <w:tcPr>
            <w:tcW w:type="dxa" w:w="288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Event selection, coverage check, schema draft</w:t>
            </w:r>
          </w:p>
        </w:tc>
        <w:tc>
          <w:tcPr>
            <w:tcW w:type="dxa" w:w="243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Literature review (label design)</w:t>
            </w:r>
          </w:p>
        </w:tc>
        <w:tc>
          <w:tcPr>
            <w:tcW w:type="dxa" w:w="234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Experiments; dataset section of the paper</w:t>
            </w:r>
          </w:p>
        </w:tc>
      </w:tr>
      <w:tr>
        <w:tc>
          <w:tcPr>
            <w:tcW w:type="dxa" w:w="135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3. Paper</w:t>
            </w:r>
          </w:p>
        </w:tc>
        <w:tc>
          <w:tcPr>
            <w:tcW w:type="dxa" w:w="288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Literature review, related work, problem formulation</w:t>
            </w:r>
          </w:p>
        </w:tc>
        <w:tc>
          <w:tcPr>
            <w:tcW w:type="dxa" w:w="243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Results (only for results sections)</w:t>
            </w:r>
          </w:p>
        </w:tc>
        <w:tc>
          <w:tcPr>
            <w:tcW w:type="dxa" w:w="234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Novelty claim → priorities for code and dataset</w:t>
            </w:r>
          </w:p>
        </w:tc>
      </w:tr>
    </w:tbl>
    <w:p>
      <w:pPr>
        <w:spacing w:after="120"/>
      </w:pPr>
    </w:p>
    <w:p>
      <w:pPr>
        <w:pStyle w:val="Heading2"/>
      </w:pPr>
      <w:r>
        <w:t xml:space="preserve">14.1 Sync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2707"/>
        <w:gridCol w:w="4966"/>
      </w:tblGrid>
      <w:tr>
        <w:trPr>
          <w:tblHeader/>
        </w:trPr>
        <w:tc>
          <w:tcPr>
            <w:tcW w:type="dxa" w:w="1353"/>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When</w:t>
            </w:r>
          </w:p>
        </w:tc>
        <w:tc>
          <w:tcPr>
            <w:tcW w:type="dxa" w:w="2707"/>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Sync point</w:t>
            </w:r>
          </w:p>
        </w:tc>
        <w:tc>
          <w:tcPr>
            <w:tcW w:type="dxa" w:w="4966"/>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Outcome</w:t>
            </w:r>
          </w:p>
        </w:tc>
      </w:tr>
      <w:tr>
        <w:tc>
          <w:tcPr>
            <w:tcW w:type="dxa" w:w="135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~Week 4</w:t>
            </w:r>
          </w:p>
        </w:tc>
        <w:tc>
          <w:tcPr>
            <w:tcW w:type="dxa" w:w="270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Schema frozen (v1)</w:t>
            </w:r>
          </w:p>
        </w:tc>
        <w:tc>
          <w:tcPr>
            <w:tcW w:type="dxa" w:w="496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Code and dataset use the same event / observation / relation definitions</w:t>
            </w:r>
          </w:p>
        </w:tc>
      </w:tr>
      <w:tr>
        <w:tc>
          <w:tcPr>
            <w:tcW w:type="dxa" w:w="1353"/>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~Week 6–8</w:t>
            </w:r>
          </w:p>
        </w:tc>
        <w:tc>
          <w:tcPr>
            <w:tcW w:type="dxa" w:w="270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Novelty claim drafted</w:t>
            </w:r>
          </w:p>
        </w:tc>
        <w:tc>
          <w:tcPr>
            <w:tcW w:type="dxa" w:w="496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Baselines and labels fixed; nothing annotated that the paper does not need</w:t>
            </w:r>
          </w:p>
        </w:tc>
      </w:tr>
      <w:tr>
        <w:tc>
          <w:tcPr>
            <w:tcW w:type="dxa" w:w="135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~Month 4</w:t>
            </w:r>
          </w:p>
        </w:tc>
        <w:tc>
          <w:tcPr>
            <w:tcW w:type="dxa" w:w="270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Dataset v0.1</w:t>
            </w:r>
          </w:p>
        </w:tc>
        <w:tc>
          <w:tcPr>
            <w:tcW w:type="dxa" w:w="496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First annotated subset; baselines run on real data</w:t>
            </w:r>
          </w:p>
        </w:tc>
      </w:tr>
    </w:tbl>
    <w:p>
      <w:pPr>
        <w:spacing w:after="120"/>
      </w:pPr>
    </w:p>
    <w:p>
      <w:pPr>
        <w:pStyle w:val="Heading2"/>
      </w:pPr>
      <w:r>
        <w:t xml:space="preserve">14.2 Effort split (single developer)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1805"/>
        <w:gridCol w:w="2709"/>
      </w:tblGrid>
      <w:tr>
        <w:trPr>
          <w:tblHeader/>
        </w:trPr>
        <w:tc>
          <w:tcPr>
            <w:tcW w:type="dxa" w:w="2707"/>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Period</w:t>
            </w:r>
          </w:p>
        </w:tc>
        <w:tc>
          <w:tcPr>
            <w:tcW w:type="dxa" w:w="180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Paper</w:t>
            </w:r>
          </w:p>
        </w:tc>
        <w:tc>
          <w:tcPr>
            <w:tcW w:type="dxa" w:w="180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Dataset</w:t>
            </w:r>
          </w:p>
        </w:tc>
        <w:tc>
          <w:tcPr>
            <w:tcW w:type="dxa" w:w="2709"/>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Code</w:t>
            </w:r>
          </w:p>
        </w:tc>
      </w:tr>
      <w:tr>
        <w:tc>
          <w:tcPr>
            <w:tcW w:type="dxa" w:w="270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First 2 months</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50%</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30%</w:t>
            </w:r>
          </w:p>
        </w:tc>
        <w:tc>
          <w:tcPr>
            <w:tcW w:type="dxa" w:w="270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20%</w:t>
            </w:r>
          </w:p>
        </w:tc>
      </w:tr>
      <w:tr>
        <w:tc>
          <w:tcPr>
            <w:tcW w:type="dxa" w:w="270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Middle phase</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20%</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40%</w:t>
            </w:r>
          </w:p>
        </w:tc>
        <w:tc>
          <w:tcPr>
            <w:tcW w:type="dxa" w:w="270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40%</w:t>
            </w:r>
          </w:p>
        </w:tc>
      </w:tr>
      <w:tr>
        <w:tc>
          <w:tcPr>
            <w:tcW w:type="dxa" w:w="270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Final phase</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50%</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10%</w:t>
            </w:r>
          </w:p>
        </w:tc>
        <w:tc>
          <w:tcPr>
            <w:tcW w:type="dxa" w:w="270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40% (experiments + deployment)</w:t>
            </w:r>
          </w:p>
        </w:tc>
      </w:tr>
    </w:tbl>
    <w:p>
      <w:pPr>
        <w:spacing w:after="120"/>
      </w:pPr>
    </w:p>
    <w:p>
      <w:pPr>
        <w:spacing w:after="120"/>
      </w:pPr>
      <w:r>
        <w:t xml:space="preserve">About 60% of the paper (introduction, related work, problem formulation, dataset and method) can be written before results exist. Writing early exposes gaps sooner.</w:t>
      </w:r>
    </w:p>
    <w:p>
      <w:pPr>
        <w:pStyle w:val="Heading1"/>
      </w:pPr>
      <w:r>
        <w:t xml:space="preserve">15. Timeline (October 2026 – early 2028)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7"/>
        <w:gridCol w:w="2527"/>
        <w:gridCol w:w="2348"/>
      </w:tblGrid>
      <w:tr>
        <w:trPr>
          <w:tblHeader/>
        </w:trPr>
        <w:tc>
          <w:tcPr>
            <w:tcW w:type="dxa" w:w="1444"/>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Period</w:t>
            </w:r>
          </w:p>
        </w:tc>
        <w:tc>
          <w:tcPr>
            <w:tcW w:type="dxa" w:w="2707"/>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Code</w:t>
            </w:r>
          </w:p>
        </w:tc>
        <w:tc>
          <w:tcPr>
            <w:tcW w:type="dxa" w:w="2527"/>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Dataset</w:t>
            </w:r>
          </w:p>
        </w:tc>
        <w:tc>
          <w:tcPr>
            <w:tcW w:type="dxa" w:w="2348"/>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Paper</w:t>
            </w:r>
          </w:p>
        </w:tc>
      </w:tr>
      <w:tr>
        <w:tc>
          <w:tcPr>
            <w:tcW w:type="dxa" w:w="144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Oct–Dec 2026</w:t>
            </w:r>
          </w:p>
        </w:tc>
        <w:tc>
          <w:tcPr>
            <w:tcW w:type="dxa" w:w="270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Backend skeleton: auth, roles, field reports, events/evidence tables, PostGIS, audit log</w:t>
            </w:r>
          </w:p>
        </w:tc>
        <w:tc>
          <w:tcPr>
            <w:tcW w:type="dxa" w:w="252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Select 20–30 events; coverage check; schema v1; annotation guideline v0</w:t>
            </w:r>
          </w:p>
        </w:tc>
        <w:tc>
          <w:tcPr>
            <w:tcW w:type="dxa" w:w="234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Literature review; novelty claim; related work draft</w:t>
            </w:r>
          </w:p>
        </w:tc>
      </w:tr>
      <w:tr>
        <w:tc>
          <w:tcPr>
            <w:tcW w:type="dxa" w:w="144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Jan–Apr 2027</w:t>
            </w:r>
          </w:p>
        </w:tc>
        <w:tc>
          <w:tcPr>
            <w:tcW w:type="dxa" w:w="270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Ingestion collectors; text pipeline on pretrained models; geocoding; baselines B1–B6</w:t>
            </w:r>
          </w:p>
        </w:tc>
        <w:tc>
          <w:tcPr>
            <w:tcW w:type="dxa" w:w="252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Collection and annotation; agreement study; dataset v0.1 → v0.5</w:t>
            </w:r>
          </w:p>
        </w:tc>
        <w:tc>
          <w:tcPr>
            <w:tcW w:type="dxa" w:w="234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Problem formulation, dataset and method sections</w:t>
            </w:r>
          </w:p>
        </w:tc>
      </w:tr>
      <w:tr>
        <w:tc>
          <w:tcPr>
            <w:tcW w:type="dxa" w:w="144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May–Aug 2027</w:t>
            </w:r>
          </w:p>
        </w:tc>
        <w:tc>
          <w:tcPr>
            <w:tcW w:type="dxa" w:w="270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Fusion model; ablations; robustness; basic multimodal (ASR, OCR, image hashing)</w:t>
            </w:r>
          </w:p>
        </w:tc>
        <w:tc>
          <w:tcPr>
            <w:tcW w:type="dxa" w:w="252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Simulated field reports; contamination sets; dataset v1.0</w:t>
            </w:r>
          </w:p>
        </w:tc>
        <w:tc>
          <w:tcPr>
            <w:tcW w:type="dxa" w:w="234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Experiments section; failure analysis</w:t>
            </w:r>
          </w:p>
        </w:tc>
      </w:tr>
      <w:tr>
        <w:tc>
          <w:tcPr>
            <w:tcW w:type="dxa" w:w="1444"/>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Sep–Dec 2027</w:t>
            </w:r>
          </w:p>
        </w:tc>
        <w:tc>
          <w:tcPr>
            <w:tcW w:type="dxa" w:w="270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Dashboard; security hardening; deployment</w:t>
            </w:r>
          </w:p>
        </w:tc>
        <w:tc>
          <w:tcPr>
            <w:tcW w:type="dxa" w:w="252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Dataset card; release preparation</w:t>
            </w:r>
          </w:p>
        </w:tc>
        <w:tc>
          <w:tcPr>
            <w:tcW w:type="dxa" w:w="234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Full draft, internal review, </w:t>
            </w:r>
            <w:r>
              <w:rPr>
                <w:b/>
                <w:bCs/>
                <w:sz w:val="19"/>
                <w:szCs w:val="19"/>
              </w:rPr>
              <w:t xml:space="preserve">Q1 submission</w:t>
            </w:r>
          </w:p>
        </w:tc>
      </w:tr>
      <w:tr>
        <w:tc>
          <w:tcPr>
            <w:tcW w:type="dxa" w:w="1444"/>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2028</w:t>
            </w:r>
          </w:p>
        </w:tc>
        <w:tc>
          <w:tcPr>
            <w:tcW w:type="dxa" w:w="270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Maintenance; human-AI evaluation on the live system</w:t>
            </w:r>
          </w:p>
        </w:tc>
        <w:tc>
          <w:tcPr>
            <w:tcW w:type="dxa" w:w="252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Optional real field data</w:t>
            </w:r>
          </w:p>
        </w:tc>
        <w:tc>
          <w:tcPr>
            <w:tcW w:type="dxa" w:w="234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Revisions; possible second paper</w:t>
            </w:r>
          </w:p>
        </w:tc>
      </w:tr>
    </w:tbl>
    <w:p>
      <w:pPr>
        <w:spacing w:after="120"/>
      </w:pPr>
    </w:p>
    <w:p>
      <w:pPr>
        <w:spacing w:after="120"/>
      </w:pPr>
      <w:r>
        <w:t xml:space="preserve">Q1 reviews often take 3–9 months. Submitting by late 2027 allows the paper to be accepted or under review when graduate applications are made.</w:t>
      </w:r>
    </w:p>
    <w:p>
      <w:pPr>
        <w:pStyle w:val="Heading1"/>
      </w:pPr>
      <w:r>
        <w:t xml:space="preserve">16.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1805"/>
        <w:gridCol w:w="2708"/>
      </w:tblGrid>
      <w:tr>
        <w:trPr>
          <w:tblHeader/>
        </w:trPr>
        <w:tc>
          <w:tcPr>
            <w:tcW w:type="dxa" w:w="4513"/>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Deliverable</w:t>
            </w:r>
          </w:p>
        </w:tc>
        <w:tc>
          <w:tcPr>
            <w:tcW w:type="dxa" w:w="1805"/>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Track</w:t>
            </w:r>
          </w:p>
        </w:tc>
        <w:tc>
          <w:tcPr>
            <w:tcW w:type="dxa" w:w="2708"/>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Target</w:t>
            </w:r>
          </w:p>
        </w:tc>
      </w:tr>
      <w:tr>
        <w:tc>
          <w:tcPr>
            <w:tcW w:type="dxa" w:w="451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Spec v1.0 (this document)</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All</w:t>
            </w:r>
          </w:p>
        </w:tc>
        <w:tc>
          <w:tcPr>
            <w:tcW w:type="dxa" w:w="270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Oct 2026</w:t>
            </w:r>
          </w:p>
        </w:tc>
      </w:tr>
      <w:tr>
        <w:tc>
          <w:tcPr>
            <w:tcW w:type="dxa" w:w="4513"/>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Research gap and novelty note</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Paper</w:t>
            </w:r>
          </w:p>
        </w:tc>
        <w:tc>
          <w:tcPr>
            <w:tcW w:type="dxa" w:w="270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Nov 2026</w:t>
            </w:r>
          </w:p>
        </w:tc>
      </w:tr>
      <w:tr>
        <w:tc>
          <w:tcPr>
            <w:tcW w:type="dxa" w:w="451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Schema v1 + annotation guideline</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Dataset</w:t>
            </w:r>
          </w:p>
        </w:tc>
        <w:tc>
          <w:tcPr>
            <w:tcW w:type="dxa" w:w="270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Nov 2026</w:t>
            </w:r>
          </w:p>
        </w:tc>
      </w:tr>
      <w:tr>
        <w:tc>
          <w:tcPr>
            <w:tcW w:type="dxa" w:w="4513"/>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Backend MVP</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Code</w:t>
            </w:r>
          </w:p>
        </w:tc>
        <w:tc>
          <w:tcPr>
            <w:tcW w:type="dxa" w:w="270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Dec 2026</w:t>
            </w:r>
          </w:p>
        </w:tc>
      </w:tr>
      <w:tr>
        <w:tc>
          <w:tcPr>
            <w:tcW w:type="dxa" w:w="451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CARCUX-BD v0.1</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Dataset</w:t>
            </w:r>
          </w:p>
        </w:tc>
        <w:tc>
          <w:tcPr>
            <w:tcW w:type="dxa" w:w="270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Feb 2027</w:t>
            </w:r>
          </w:p>
        </w:tc>
      </w:tr>
      <w:tr>
        <w:tc>
          <w:tcPr>
            <w:tcW w:type="dxa" w:w="4513"/>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Baseline benchmark</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Code</w:t>
            </w:r>
          </w:p>
        </w:tc>
        <w:tc>
          <w:tcPr>
            <w:tcW w:type="dxa" w:w="270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Apr 2027</w:t>
            </w:r>
          </w:p>
        </w:tc>
      </w:tr>
      <w:tr>
        <w:tc>
          <w:tcPr>
            <w:tcW w:type="dxa" w:w="451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Fusion engine v1 + robustness benchmark</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Code</w:t>
            </w:r>
          </w:p>
        </w:tc>
        <w:tc>
          <w:tcPr>
            <w:tcW w:type="dxa" w:w="270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Aug 2027</w:t>
            </w:r>
          </w:p>
        </w:tc>
      </w:tr>
      <w:tr>
        <w:tc>
          <w:tcPr>
            <w:tcW w:type="dxa" w:w="4513"/>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CARCUX-BD v1.0 + dataset card</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Dataset</w:t>
            </w:r>
          </w:p>
        </w:tc>
        <w:tc>
          <w:tcPr>
            <w:tcW w:type="dxa" w:w="270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Sep 2027</w:t>
            </w:r>
          </w:p>
        </w:tc>
      </w:tr>
      <w:tr>
        <w:tc>
          <w:tcPr>
            <w:tcW w:type="dxa" w:w="4513"/>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Q1 manuscript submitted</w:t>
            </w:r>
          </w:p>
        </w:tc>
        <w:tc>
          <w:tcPr>
            <w:tcW w:type="dxa" w:w="1805"/>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Paper</w:t>
            </w:r>
          </w:p>
        </w:tc>
        <w:tc>
          <w:tcPr>
            <w:tcW w:type="dxa" w:w="2708"/>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Dec 2027</w:t>
            </w:r>
          </w:p>
        </w:tc>
      </w:tr>
      <w:tr>
        <w:tc>
          <w:tcPr>
            <w:tcW w:type="dxa" w:w="4513"/>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Deployed CARCUX console</w:t>
            </w:r>
          </w:p>
        </w:tc>
        <w:tc>
          <w:tcPr>
            <w:tcW w:type="dxa" w:w="1805"/>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Code</w:t>
            </w:r>
          </w:p>
        </w:tc>
        <w:tc>
          <w:tcPr>
            <w:tcW w:type="dxa" w:w="2708"/>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Dec 2027</w:t>
            </w:r>
          </w:p>
        </w:tc>
      </w:tr>
    </w:tbl>
    <w:p>
      <w:pPr>
        <w:spacing w:after="120"/>
      </w:pPr>
    </w:p>
    <w:p>
      <w:pPr>
        <w:pStyle w:val="Heading1"/>
      </w:pPr>
      <w:r>
        <w:t xml:space="preserve">17. Publication Strategy</w:t>
      </w:r>
    </w:p>
    <w:p>
      <w:pPr>
        <w:spacing w:after="120"/>
      </w:pPr>
      <w:r>
        <w:t xml:space="preserve">One paper, one sharp contribution: source-aware spatiotemporal evidence fusion with calibrated uncertainty, with CARCUX-BD as a secondary contribution. The MP-office deployment is presented as the motivating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Candidate journal</w:t>
            </w:r>
          </w:p>
        </w:tc>
        <w:tc>
          <w:tcPr>
            <w:tcW w:type="dxa" w:w="5416"/>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Fit</w:t>
            </w:r>
          </w:p>
        </w:tc>
      </w:tr>
      <w:tr>
        <w:tc>
          <w:tcPr>
            <w:tcW w:type="dxa" w:w="361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Information Fusion (Elsevier)</w:t>
            </w:r>
          </w:p>
        </w:tc>
        <w:tc>
          <w:tcPr>
            <w:tcW w:type="dxa" w:w="541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Strongest fit: multi-source evidence fusion is the journal’s core scope</w:t>
            </w:r>
          </w:p>
        </w:tc>
      </w:tr>
      <w:tr>
        <w:tc>
          <w:tcPr>
            <w:tcW w:type="dxa" w:w="361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Information Processing &amp; Management (Elsevier)</w:t>
            </w:r>
          </w:p>
        </w:tc>
        <w:tc>
          <w:tcPr>
            <w:tcW w:type="dxa" w:w="541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Event detection, information reliability, misinformation</w:t>
            </w:r>
          </w:p>
        </w:tc>
      </w:tr>
      <w:tr>
        <w:tc>
          <w:tcPr>
            <w:tcW w:type="dxa" w:w="3610"/>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Knowledge-Based Systems (Elsevier)</w:t>
            </w:r>
          </w:p>
        </w:tc>
        <w:tc>
          <w:tcPr>
            <w:tcW w:type="dxa" w:w="5416"/>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Reasoning systems with strong experimental evaluation</w:t>
            </w:r>
          </w:p>
        </w:tc>
      </w:tr>
      <w:tr>
        <w:tc>
          <w:tcPr>
            <w:tcW w:type="dxa" w:w="3610"/>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Expert Systems with Applications (Elsevier)</w:t>
            </w:r>
          </w:p>
        </w:tc>
        <w:tc>
          <w:tcPr>
            <w:tcW w:type="dxa" w:w="5416"/>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Applied intelligent systems with real-world case studies</w:t>
            </w:r>
          </w:p>
        </w:tc>
      </w:tr>
    </w:tbl>
    <w:p>
      <w:pPr>
        <w:spacing w:after="120"/>
      </w:pPr>
    </w:p>
    <w:p>
      <w:pPr>
        <w:spacing w:after="120"/>
      </w:pPr>
      <w:r>
        <w:t xml:space="preserve">Verify each journal’s current SJR quartile and scope before submission. Candidate later papers: a Bangla/Banglish event extraction dataset paper; a human-AI evaluation paper after deployment.</w:t>
      </w:r>
    </w:p>
    <w:p>
      <w:pPr>
        <w:pStyle w:val="Heading1"/>
      </w:pPr>
      <w:r>
        <w:t xml:space="preserve">18.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Risk</w:t>
            </w:r>
          </w:p>
        </w:tc>
        <w:tc>
          <w:tcPr>
            <w:tcW w:type="dxa" w:w="5867"/>
            <w:tcBorders>
              <w:top w:val="single" w:color="BFC8D2" w:sz="4"/>
              <w:left w:val="single" w:color="BFC8D2" w:sz="4"/>
              <w:bottom w:val="single" w:color="BFC8D2" w:sz="4"/>
              <w:right w:val="single" w:color="BFC8D2" w:sz="4"/>
            </w:tcBorders>
            <w:shd w:fill="111111" w:color="auto" w:val="clear"/>
            <w:tcMar>
              <w:top w:type="dxa" w:w="70"/>
              <w:left w:type="dxa" w:w="110"/>
              <w:bottom w:type="dxa" w:w="70"/>
              <w:right w:type="dxa" w:w="110"/>
            </w:tcMar>
          </w:tcPr>
          <w:p>
            <w:r>
              <w:rPr>
                <w:b/>
                <w:bCs/>
                <w:color w:val="FFFFFF"/>
                <w:sz w:val="19"/>
                <w:szCs w:val="19"/>
              </w:rPr>
              <w:t xml:space="preserve">Mitigation</w:t>
            </w:r>
          </w:p>
        </w:tc>
      </w:tr>
      <w:tr>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Novelty overlaps existing work</w:t>
            </w:r>
          </w:p>
        </w:tc>
        <w:tc>
          <w:tcPr>
            <w:tcW w:type="dxa" w:w="586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Literature review before architecture; position against truth discovery and crisis-informatics work explicitly</w:t>
            </w:r>
          </w:p>
        </w:tc>
      </w:tr>
      <w:tr>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Not enough coverage for BD events</w:t>
            </w:r>
          </w:p>
        </w:tc>
        <w:tc>
          <w:tcPr>
            <w:tcW w:type="dxa" w:w="586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Coverage check before annotation; supplement with public benchmarks</w:t>
            </w:r>
          </w:p>
        </w:tc>
      </w:tr>
      <w:tr>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Annotation takes too long</w:t>
            </w:r>
          </w:p>
        </w:tc>
        <w:tc>
          <w:tcPr>
            <w:tcW w:type="dxa" w:w="586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Start with a small, well-annotated subset; recruit a second annotator for agreement</w:t>
            </w:r>
          </w:p>
        </w:tc>
      </w:tr>
      <w:tr>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Simulated field data seen as circular</w:t>
            </w:r>
          </w:p>
        </w:tc>
        <w:tc>
          <w:tcPr>
            <w:tcW w:type="dxa" w:w="586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Derive only from verified ground truth; report results with and without it</w:t>
            </w:r>
          </w:p>
        </w:tc>
      </w:tr>
      <w:tr>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Scope creep into engineered areas</w:t>
            </w:r>
          </w:p>
        </w:tc>
        <w:tc>
          <w:tcPr>
            <w:tcW w:type="dxa" w:w="586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Scope discipline rule (Section 6)</w:t>
            </w:r>
          </w:p>
        </w:tc>
      </w:tr>
      <w:tr>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Time pressure from other projects</w:t>
            </w:r>
          </w:p>
        </w:tc>
        <w:tc>
          <w:tcPr>
            <w:tcW w:type="dxa" w:w="586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Steady weekly allocation; paper-first in the first two months</w:t>
            </w:r>
          </w:p>
        </w:tc>
      </w:tr>
      <w:tr>
        <w:tc>
          <w:tcPr>
            <w:tcW w:type="dxa" w:w="3159"/>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Platform terms limit collection</w:t>
            </w:r>
          </w:p>
        </w:tc>
        <w:tc>
          <w:tcPr>
            <w:tcW w:type="dxa" w:w="5867"/>
            <w:tcBorders>
              <w:top w:val="single" w:color="BFC8D2" w:sz="4"/>
              <w:left w:val="single" w:color="BFC8D2" w:sz="4"/>
              <w:bottom w:val="single" w:color="BFC8D2" w:sz="4"/>
              <w:right w:val="single" w:color="BFC8D2" w:sz="4"/>
            </w:tcBorders>
            <w:tcMar>
              <w:top w:type="dxa" w:w="70"/>
              <w:left w:type="dxa" w:w="110"/>
              <w:bottom w:type="dxa" w:w="70"/>
              <w:right w:type="dxa" w:w="110"/>
            </w:tcMar>
          </w:tcPr>
          <w:p>
            <w:r>
              <w:rPr>
                <w:sz w:val="19"/>
                <w:szCs w:val="19"/>
              </w:rPr>
              <w:t xml:space="preserve">Prioritise news archives and public web; store references and derived features</w:t>
            </w:r>
          </w:p>
        </w:tc>
      </w:tr>
      <w:tr>
        <w:tc>
          <w:tcPr>
            <w:tcW w:type="dxa" w:w="3159"/>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Misuse of the deployed system</w:t>
            </w:r>
          </w:p>
        </w:tc>
        <w:tc>
          <w:tcPr>
            <w:tcW w:type="dxa" w:w="5867"/>
            <w:tcBorders>
              <w:top w:val="single" w:color="BFC8D2" w:sz="4"/>
              <w:left w:val="single" w:color="BFC8D2" w:sz="4"/>
              <w:bottom w:val="single" w:color="BFC8D2" w:sz="4"/>
              <w:right w:val="single" w:color="BFC8D2" w:sz="4"/>
            </w:tcBorders>
            <w:shd w:fill="F4F6F8" w:color="auto" w:val="clear"/>
            <w:tcMar>
              <w:top w:type="dxa" w:w="70"/>
              <w:left w:type="dxa" w:w="110"/>
              <w:bottom w:type="dxa" w:w="70"/>
              <w:right w:type="dxa" w:w="110"/>
            </w:tcMar>
          </w:tcPr>
          <w:p>
            <w:r>
              <w:rPr>
                <w:sz w:val="19"/>
                <w:szCs w:val="19"/>
              </w:rPr>
              <w:t xml:space="preserve">Event-only schema, no person-level fields, audit log, human-in-the-loop</w:t>
            </w:r>
          </w:p>
        </w:tc>
      </w:tr>
    </w:tbl>
    <w:p>
      <w:pPr>
        <w:spacing w:after="120"/>
      </w:pPr>
    </w:p>
    <w:p>
      <w:pPr>
        <w:pStyle w:val="Heading1"/>
      </w:pPr>
      <w:r>
        <w:t xml:space="preserve">19. Ethics and Governance</w:t>
      </w:r>
    </w:p>
    <w:p>
      <w:pPr>
        <w:pStyle w:val="ListParagraph"/>
        <w:numPr>
          <w:ilvl w:val="0"/>
          <w:numId w:val="2"/>
        </w:numPr>
        <w:spacing w:after="60"/>
      </w:pPr>
      <w:r>
        <w:t xml:space="preserve">The unit of analysis is </w:t>
      </w:r>
      <w:r>
        <w:rPr>
          <w:b/>
          <w:bCs/>
        </w:rPr>
        <w:t xml:space="preserve">event → evidence → location → time → source → uncertainty → priority</w:t>
      </w:r>
      <w:r>
        <w:t xml:space="preserve">, never person → opinion.</w:t>
      </w:r>
    </w:p>
    <w:p>
      <w:pPr>
        <w:pStyle w:val="ListParagraph"/>
        <w:numPr>
          <w:ilvl w:val="0"/>
          <w:numId w:val="2"/>
        </w:numPr>
        <w:spacing w:after="60"/>
      </w:pPr>
      <w:r>
        <w:t xml:space="preserve">The schema contains no fields for political attributes or individual profiles; enforced in code, not only in policy.</w:t>
      </w:r>
    </w:p>
    <w:p>
      <w:pPr>
        <w:pStyle w:val="ListParagraph"/>
        <w:numPr>
          <w:ilvl w:val="0"/>
          <w:numId w:val="2"/>
        </w:numPr>
        <w:spacing w:after="60"/>
      </w:pPr>
      <w:r>
        <w:t xml:space="preserve">Human review before any assessment is acted on; AI never takes actions.</w:t>
      </w:r>
    </w:p>
    <w:p>
      <w:pPr>
        <w:pStyle w:val="ListParagraph"/>
        <w:numPr>
          <w:ilvl w:val="0"/>
          <w:numId w:val="2"/>
        </w:numPr>
        <w:spacing w:after="60"/>
      </w:pPr>
      <w:r>
        <w:t xml:space="preserve">Append-only audit log of reports, assessments, reviews and access.</w:t>
      </w:r>
    </w:p>
    <w:p>
      <w:pPr>
        <w:pStyle w:val="ListParagraph"/>
        <w:numPr>
          <w:ilvl w:val="0"/>
          <w:numId w:val="2"/>
        </w:numPr>
        <w:spacing w:after="60"/>
      </w:pPr>
      <w:r>
        <w:t xml:space="preserve">Data minimisation; respect for copyright, platform terms and applicable law.</w:t>
      </w:r>
    </w:p>
    <w:p>
      <w:pPr>
        <w:pStyle w:val="ListParagraph"/>
        <w:numPr>
          <w:ilvl w:val="0"/>
          <w:numId w:val="2"/>
        </w:numPr>
        <w:spacing w:after="60"/>
      </w:pPr>
      <w:r>
        <w:t xml:space="preserve">Seek UIU ethics guidance before any real field data or user study.</w:t>
      </w:r>
    </w:p>
    <w:p>
      <w:pPr>
        <w:pStyle w:val="Heading1"/>
      </w:pPr>
      <w:r>
        <w:t xml:space="preserve">20. Repository Structure</w:t>
      </w:r>
    </w:p>
    <w:p>
      <w:pPr>
        <w:shd w:fill="F4F6F8" w:color="auto" w:val="clear"/>
        <w:spacing w:after="0" w:before="60"/>
        <w:ind w:left="200" w:right="200"/>
      </w:pPr>
      <w:r>
        <w:rPr>
          <w:rFonts w:ascii="Consolas" w:cs="Consolas" w:eastAsia="Consolas" w:hAnsi="Consolas"/>
          <w:sz w:val="18"/>
          <w:szCs w:val="18"/>
        </w:rPr>
        <w:t xml:space="preserve">CARCUX/</w:t>
      </w:r>
    </w:p>
    <w:p>
      <w:pPr>
        <w:shd w:fill="F4F6F8" w:color="auto" w:val="clear"/>
        <w:spacing w:after="0" w:before="0"/>
        <w:ind w:left="200" w:right="200"/>
      </w:pPr>
      <w:r>
        <w:rPr>
          <w:rFonts w:ascii="Consolas" w:cs="Consolas" w:eastAsia="Consolas" w:hAnsi="Consolas"/>
          <w:sz w:val="18"/>
          <w:szCs w:val="18"/>
        </w:rPr>
        <w:t xml:space="preserve">├── README.md</w:t>
      </w:r>
    </w:p>
    <w:p>
      <w:pPr>
        <w:shd w:fill="F4F6F8" w:color="auto" w:val="clear"/>
        <w:spacing w:after="0" w:before="0"/>
        <w:ind w:left="200" w:right="200"/>
      </w:pPr>
      <w:r>
        <w:rPr>
          <w:rFonts w:ascii="Consolas" w:cs="Consolas" w:eastAsia="Consolas" w:hAnsi="Consolas"/>
          <w:sz w:val="18"/>
          <w:szCs w:val="18"/>
        </w:rPr>
        <w:t xml:space="preserve">├── docs/            specification, architecture, security, threat model, api</w:t>
      </w:r>
    </w:p>
    <w:p>
      <w:pPr>
        <w:shd w:fill="F4F6F8" w:color="auto" w:val="clear"/>
        <w:spacing w:after="0" w:before="0"/>
        <w:ind w:left="200" w:right="200"/>
      </w:pPr>
      <w:r>
        <w:rPr>
          <w:rFonts w:ascii="Consolas" w:cs="Consolas" w:eastAsia="Consolas" w:hAnsi="Consolas"/>
          <w:sz w:val="18"/>
          <w:szCs w:val="18"/>
        </w:rPr>
        <w:t xml:space="preserve">├── frontend/        Next.js dashboard + field PWA</w:t>
      </w:r>
    </w:p>
    <w:p>
      <w:pPr>
        <w:shd w:fill="F4F6F8" w:color="auto" w:val="clear"/>
        <w:spacing w:after="0" w:before="0"/>
        <w:ind w:left="200" w:right="200"/>
      </w:pPr>
      <w:r>
        <w:rPr>
          <w:rFonts w:ascii="Consolas" w:cs="Consolas" w:eastAsia="Consolas" w:hAnsi="Consolas"/>
          <w:sz w:val="18"/>
          <w:szCs w:val="18"/>
        </w:rPr>
        <w:t xml:space="preserve">├── backend/         FastAPI app, auth, events, evidence, audit, workers</w:t>
      </w:r>
    </w:p>
    <w:p>
      <w:pPr>
        <w:shd w:fill="F4F6F8" w:color="auto" w:val="clear"/>
        <w:spacing w:after="0" w:before="0"/>
        <w:ind w:left="200" w:right="200"/>
      </w:pPr>
      <w:r>
        <w:rPr>
          <w:rFonts w:ascii="Consolas" w:cs="Consolas" w:eastAsia="Consolas" w:hAnsi="Consolas"/>
          <w:sz w:val="18"/>
          <w:szCs w:val="18"/>
        </w:rPr>
        <w:t xml:space="preserve">├── ai/</w:t>
      </w:r>
    </w:p>
    <w:p>
      <w:pPr>
        <w:shd w:fill="F4F6F8" w:color="auto" w:val="clear"/>
        <w:spacing w:after="0" w:before="0"/>
        <w:ind w:left="200" w:right="200"/>
      </w:pPr>
      <w:r>
        <w:rPr>
          <w:rFonts w:ascii="Consolas" w:cs="Consolas" w:eastAsia="Consolas" w:hAnsi="Consolas"/>
          <w:sz w:val="18"/>
          <w:szCs w:val="18"/>
        </w:rPr>
        <w:t xml:space="preserve">│   ├── extraction/      language ID, Bangla/Banglish/English NLP, geocoding</w:t>
      </w:r>
    </w:p>
    <w:p>
      <w:pPr>
        <w:shd w:fill="F4F6F8" w:color="auto" w:val="clear"/>
        <w:spacing w:after="0" w:before="0"/>
        <w:ind w:left="200" w:right="200"/>
      </w:pPr>
      <w:r>
        <w:rPr>
          <w:rFonts w:ascii="Consolas" w:cs="Consolas" w:eastAsia="Consolas" w:hAnsi="Consolas"/>
          <w:sz w:val="18"/>
          <w:szCs w:val="18"/>
        </w:rPr>
        <w:t xml:space="preserve">│   ├── media/           ASR, OCR, image embeddings and hashing</w:t>
      </w:r>
    </w:p>
    <w:p>
      <w:pPr>
        <w:shd w:fill="F4F6F8" w:color="auto" w:val="clear"/>
        <w:spacing w:after="0" w:before="0"/>
        <w:ind w:left="200" w:right="200"/>
      </w:pPr>
      <w:r>
        <w:rPr>
          <w:rFonts w:ascii="Consolas" w:cs="Consolas" w:eastAsia="Consolas" w:hAnsi="Consolas"/>
          <w:sz w:val="18"/>
          <w:szCs w:val="18"/>
        </w:rPr>
        <w:t xml:space="preserve">│   └── fusion/          correlation, dependence, conflict, calibration</w:t>
      </w:r>
    </w:p>
    <w:p>
      <w:pPr>
        <w:shd w:fill="F4F6F8" w:color="auto" w:val="clear"/>
        <w:spacing w:after="0" w:before="0"/>
        <w:ind w:left="200" w:right="200"/>
      </w:pPr>
      <w:r>
        <w:rPr>
          <w:rFonts w:ascii="Consolas" w:cs="Consolas" w:eastAsia="Consolas" w:hAnsi="Consolas"/>
          <w:sz w:val="18"/>
          <w:szCs w:val="18"/>
        </w:rPr>
        <w:t xml:space="preserve">├── data/            schema, annotation guideline, samples, dataset card</w:t>
      </w:r>
    </w:p>
    <w:p>
      <w:pPr>
        <w:shd w:fill="F4F6F8" w:color="auto" w:val="clear"/>
        <w:spacing w:after="0" w:before="0"/>
        <w:ind w:left="200" w:right="200"/>
      </w:pPr>
      <w:r>
        <w:rPr>
          <w:rFonts w:ascii="Consolas" w:cs="Consolas" w:eastAsia="Consolas" w:hAnsi="Consolas"/>
          <w:sz w:val="18"/>
          <w:szCs w:val="18"/>
        </w:rPr>
        <w:t xml:space="preserve">├── research/        literature, baselines, experiments, ablations,</w:t>
      </w:r>
    </w:p>
    <w:p>
      <w:pPr>
        <w:shd w:fill="F4F6F8" w:color="auto" w:val="clear"/>
        <w:spacing w:after="0" w:before="0"/>
        <w:ind w:left="200" w:right="200"/>
      </w:pPr>
      <w:r>
        <w:rPr>
          <w:rFonts w:ascii="Consolas" w:cs="Consolas" w:eastAsia="Consolas" w:hAnsi="Consolas"/>
          <w:sz w:val="18"/>
          <w:szCs w:val="18"/>
        </w:rPr>
        <w:t xml:space="preserve">│                    robustness, results, future-work</w:t>
      </w:r>
    </w:p>
    <w:p>
      <w:pPr>
        <w:shd w:fill="F4F6F8" w:color="auto" w:val="clear"/>
        <w:spacing w:after="0" w:before="0"/>
        <w:ind w:left="200" w:right="200"/>
      </w:pPr>
      <w:r>
        <w:rPr>
          <w:rFonts w:ascii="Consolas" w:cs="Consolas" w:eastAsia="Consolas" w:hAnsi="Consolas"/>
          <w:sz w:val="18"/>
          <w:szCs w:val="18"/>
        </w:rPr>
        <w:t xml:space="preserve">├── deployment/      Docker, compose, CI</w:t>
      </w:r>
    </w:p>
    <w:p>
      <w:pPr>
        <w:shd w:fill="F4F6F8" w:color="auto" w:val="clear"/>
        <w:spacing w:after="0" w:before="0"/>
        <w:ind w:left="200" w:right="200"/>
      </w:pPr>
      <w:r>
        <w:rPr>
          <w:rFonts w:ascii="Consolas" w:cs="Consolas" w:eastAsia="Consolas" w:hAnsi="Consolas"/>
          <w:sz w:val="18"/>
          <w:szCs w:val="18"/>
        </w:rPr>
        <w:t xml:space="preserve">└── tests/</w:t>
      </w:r>
    </w:p>
    <w:p>
      <w:pPr>
        <w:spacing w:after="120"/>
      </w:pPr>
    </w:p>
    <w:p>
      <w:pPr>
        <w:pStyle w:val="Heading1"/>
      </w:pPr>
      <w:r>
        <w:t xml:space="preserve">21. Project Definitions</w:t>
      </w:r>
    </w:p>
    <w:p>
      <w:pPr>
        <w:pStyle w:val="Heading2"/>
      </w:pPr>
      <w:r>
        <w:t xml:space="preserve">21.1 One sentence</w:t>
      </w:r>
    </w:p>
    <w:p>
      <w:pPr>
        <w:spacing w:after="120"/>
      </w:pPr>
      <w:r>
        <w:t xml:space="preserve">CARCUX is a secure AI situational intelligence platform for an MP’s office that fuses authenticated field observations with noisy public information, using source-aware spatiotemporal evidence fusion to detect, correlate and verify disaster and disruption events under uncertainty, while keeping every decision with authorized humans.</w:t>
      </w:r>
    </w:p>
    <w:p>
      <w:pPr>
        <w:pStyle w:val="Heading2"/>
      </w:pPr>
      <w:r>
        <w:t xml:space="preserve">21.2 One minute</w:t>
      </w:r>
    </w:p>
    <w:p>
      <w:pPr>
        <w:spacing w:after="120"/>
      </w:pPr>
      <w:r>
        <w:t xml:space="preserve">CARCUX collects two kinds of information: reports from authorized field workers, and permitted public information such as news, public posts, images and video. AI models extract what, where and when from each item in Bangla, Banglish and English. A fusion engine then works out which items describe the same real-world event, which sources are genuinely independent rather than copies, where reports conflict, and how certain the overall assessment is. The result appears on a map, timeline and evidence view for staff to review. The research focus is disaster and disruption events in Bangladesh — floods, waterlogging, road blockages, fires — and the research question is whether source-aware spatiotemporal fusion stays reliable as information becomes noisy and contaminated. CARCUX does not profile people or make decisions: AI assists, humans decide.</w:t>
      </w:r>
    </w:p>
    <w:sectPr>
      <w:footerReference w:type="default" r:id="rId7"/>
      <w:headerReference w:type="default" r:id="rId10"/>
      <w:footerReference w:type="first" r:id="rId12"/>
      <w:headerReference w:type="first" r:id="rId13"/>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CARCUX Specification v1.0  ·  Page </w:t>
    </w:r>
    <w:r>
      <w:rPr>
        <w:color w:val="777777"/>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80000" cy="56825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80000" cy="568258"/>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C0101B"/>
      <w:sz w:val="24"/>
      <w:szCs w:val="24"/>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jpg"/><Relationship Id="rId12" Type="http://schemas.openxmlformats.org/officeDocument/2006/relationships/footer" Target="footer2.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CARCUX Specification v1.0</dc:title>
  <dc:creator>Md Rakibuzzaman</dc:creator>
  <cp:lastModifiedBy>Un-named</cp:lastModifiedBy>
  <cp:revision>1</cp:revision>
  <dcterms:created xsi:type="dcterms:W3CDTF">2026-10-02T08:51:57.861Z</dcterms:created>
  <dcterms:modified xsi:type="dcterms:W3CDTF">2026-10-02T08:51:57.862Z</dcterms:modified>
</cp:coreProperties>
</file>

<file path=docProps/custom.xml><?xml version="1.0" encoding="utf-8"?>
<Properties xmlns="http://schemas.openxmlformats.org/officeDocument/2006/custom-properties" xmlns:vt="http://schemas.openxmlformats.org/officeDocument/2006/docPropsVTypes"/>
</file>