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30" w:name="analysis-plan"/>
    <w:p>
      <w:pPr>
        <w:pStyle w:val="berschrift2"/>
      </w:pP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r>
        <w:rPr>
          <w:rStyle w:val="Funotenzeichen"/>
        </w:rPr>
        <w:footnoteReference w:id="28"/>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9"/>
      </w:r>
    </w:p>
    <w:bookmarkEnd w:id="30"/>
    <w:bookmarkStart w:id="41" w:name="results"/>
    <w:p>
      <w:pPr>
        <w:pStyle w:val="berschrift1"/>
      </w:pPr>
      <w:r>
        <w:t xml:space="preserve">Results</w:t>
      </w:r>
    </w:p>
    <w:bookmarkStart w:id="32" w:name="X5624d0496651cf284888f223111f8f07010fd01"/>
    <w:p>
      <w:pPr>
        <w:pStyle w:val="berschrift2"/>
      </w:pP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optimize to a solution (OpenMX status1 = 5) which means that their output cannot be interpreted (see</w:t>
      </w:r>
      <w:r>
        <w:t xml:space="preserve"> </w:t>
      </w:r>
      <w:hyperlink r:id="rId31">
        <w:r>
          <w:rPr>
            <w:rStyle w:val="Hyperlink"/>
          </w:rPr>
          <w:t xml:space="preserve">https://openmx.ssri.psu.edu/wiki/errors</w:t>
        </w:r>
      </w:hyperlink>
      <w:r>
        <w:t xml:space="preserve">). This is likely because we did not have enough data within each cluster, as almost all sites ended up conducting only one study (e.g., administering only the Author Advised or In House protocol, not both). As such, we had to drop the clustering variable. The results reported below are thus a more common univariate meta-analysis, which is the model that most closely mirrors our originally planned analysis.</w:t>
      </w:r>
    </w:p>
    <w:bookmarkEnd w:id="32"/>
    <w:bookmarkStart w:id="33" w:name="X0717cbac05e4bba966b3ebf40da3149f951982b"/>
    <w:p>
      <w:pPr>
        <w:pStyle w:val="berschrift2"/>
      </w:pP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5">
        <w:r>
          <w:rPr>
            <w:rStyle w:val="Hyperlink"/>
          </w:rPr>
          <w:t xml:space="preserve">https://osf.io/8ccnw/</w:t>
        </w:r>
      </w:hyperlink>
      <w:r>
        <w:t xml:space="preserve"> </w:t>
      </w:r>
      <w:r>
        <w:t xml:space="preserve">for the other two Exclusion Sets.)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3"/>
    <w:bookmarkStart w:id="34" w:name="X29592220de5c9185f2b682c0ce7513d52858c49"/>
    <w:p>
      <w:pPr>
        <w:pStyle w:val="berschrift2"/>
      </w:pP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4"/>
    <w:bookmarkStart w:id="35" w:name="X84111581ee6b5e634403d42ca8ac8d478a3dbad"/>
    <w:p>
      <w:pPr>
        <w:pStyle w:val="berschrift2"/>
      </w:pP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5"/>
    <w:bookmarkStart w:id="40" w:name="X25153fbcdda6f1aad6cfc2299e4882fdfd02862"/>
    <w:p>
      <w:pPr>
        <w:pStyle w:val="berschrift2"/>
      </w:pP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6"/>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1.58,</w:t>
      </w:r>
      <w:r>
        <w:t xml:space="preserve"> </w:t>
      </w:r>
      <w:r>
        <w:rPr>
          <w:iCs/>
          <w:i/>
        </w:rPr>
        <w:t xml:space="preserve">p</w:t>
      </w:r>
      <w:r>
        <w:t xml:space="preserve"> </w:t>
      </w:r>
      <w:r>
        <w:t xml:space="preserve">= .113;</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r>
        <w:rPr>
          <w:rStyle w:val="Funotenzeichen"/>
        </w:rPr>
        <w:footnoteReference w:id="37"/>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Evaluations of pro- and anti-US authors.</w:t>
      </w:r>
      <w:r>
        <w:t xml:space="preserve"> </w:t>
      </w:r>
      <w:r>
        <w:t xml:space="preserve">Overall, participants preferred the pro-US author (</w:t>
      </w:r>
      <w:r>
        <w:rPr>
          <w:iCs/>
          <w:i/>
        </w:rPr>
        <w:t xml:space="preserve">M</w:t>
      </w:r>
      <w:r>
        <w:t xml:space="preserve"> </w:t>
      </w:r>
      <w:r>
        <w:t xml:space="preserve">= 5.68,</w:t>
      </w:r>
      <w:r>
        <w:t xml:space="preserve"> </w:t>
      </w:r>
      <w:r>
        <w:rPr>
          <w:iCs/>
          <w:i/>
        </w:rPr>
        <w:t xml:space="preserve">SD</w:t>
      </w:r>
      <w:r>
        <w:t xml:space="preserve"> </w:t>
      </w:r>
      <w:r>
        <w:t xml:space="preserve">= 1.83) to the anti-US author (</w:t>
      </w:r>
      <w:r>
        <w:rPr>
          <w:iCs/>
          <w:i/>
        </w:rPr>
        <w:t xml:space="preserve">M</w:t>
      </w:r>
      <w:r>
        <w:t xml:space="preserve"> </w:t>
      </w:r>
      <w:r>
        <w:t xml:space="preserve">= 4.98,</w:t>
      </w:r>
      <w:r>
        <w:t xml:space="preserve"> </w:t>
      </w:r>
      <w:r>
        <w:rPr>
          <w:iCs/>
          <w:i/>
        </w:rPr>
        <w:t xml:space="preserve">SD</w:t>
      </w:r>
      <w:r>
        <w:t xml:space="preserve"> </w:t>
      </w:r>
      <w:r>
        <w:t xml:space="preserve">= 4.98). This difference was statistically significant,</w:t>
      </w:r>
      <w:r>
        <w:t xml:space="preserve"> </w:t>
      </w:r>
      <m:oMath>
        <m:r>
          <m:t>t</m:t>
        </m:r>
        <m:d>
          <m:dPr>
            <m:begChr m:val="("/>
            <m:endChr m:val=")"/>
            <m:sepChr m:val=""/>
            <m:grow/>
          </m:dPr>
          <m:e>
            <m:r>
              <m:t>1</m:t>
            </m:r>
            <m:r>
              <m:rPr>
                <m:sty m:val="p"/>
              </m:rPr>
              <m:t>,</m:t>
            </m:r>
            <m:r>
              <m:t>549</m:t>
            </m:r>
          </m:e>
        </m:d>
        <m:r>
          <m:rPr>
            <m:sty m:val="p"/>
          </m:rPr>
          <m:t>=</m:t>
        </m:r>
        <m:r>
          <m:t>11.80</m:t>
        </m:r>
      </m:oMath>
      <w:r>
        <w:t xml:space="preserve">,</w:t>
      </w:r>
      <w:r>
        <w:t xml:space="preserve"> </w:t>
      </w:r>
      <m:oMath>
        <m:r>
          <m:t>p</m:t>
        </m:r>
        <m:r>
          <m:rPr>
            <m:sty m:val="p"/>
          </m:rPr>
          <m:t>&lt;</m:t>
        </m:r>
        <m:r>
          <m:t>.001</m:t>
        </m:r>
      </m:oMath>
      <w:r>
        <w:t xml:space="preserve">.</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rPr>
          <w:bCs/>
          <w:b/>
        </w:rPr>
        <w:t xml:space="preserve">Is the anticipated effect stronger among participants who preferred the pro-US author?</w:t>
      </w:r>
      <w:r>
        <w:t xml:space="preserve"> </w:t>
      </w:r>
      <w:r>
        <w:t xml:space="preserve">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8"/>
      </w:r>
    </w:p>
    <w:bookmarkStart w:id="39" w:name="refs"/>
    <w:bookmarkEnd w:id="39"/>
    <w:bookmarkEnd w:id="40"/>
    <w:bookmarkEnd w:id="4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Power calculated with the</w:t>
      </w:r>
      <w:r>
        <w:t xml:space="preserve"> </w:t>
      </w:r>
      <w:r>
        <w:t xml:space="preserve">‘</w:t>
      </w:r>
      <w:r>
        <w:t xml:space="preserve">pwr</w:t>
      </w:r>
      <w:r>
        <w:t xml:space="preserve">’</w:t>
      </w:r>
      <w:r>
        <w:t xml:space="preserve"> </w:t>
      </w:r>
      <w:r>
        <w:t xml:space="preserve">R package (Champely, 2020) assuming equal distribution of participants between mortality salience and control conditions, and two-tailed test with alpha of .05..</w:t>
      </w:r>
    </w:p>
  </w:footnote>
  <w:footnote w:id="29">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all prior Many Labs projects (Klein et al., 2014; 2018, Ebersole et al., 2016; 2020) and the pre-registered sample analysis code (</w:t>
      </w:r>
      <w:hyperlink r:id="rId21">
        <w:r>
          <w:rPr>
            <w:rStyle w:val="Hyperlink"/>
          </w:rPr>
          <w:t xml:space="preserve">https://osf.io/4xx6w</w:t>
        </w:r>
      </w:hyperlink>
      <w:r>
        <w:t xml:space="preserve">).</w:t>
      </w:r>
    </w:p>
  </w:footnote>
  <w:footnote w:id="36">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7">
    <w:p>
      <w:pPr>
        <w:pStyle w:val="Funotentext"/>
      </w:pPr>
      <w:r>
        <w:rPr>
          <w:rStyle w:val="Funotenzeichen"/>
        </w:rPr>
        <w:footnoteRef/>
      </w:r>
      <w:r>
        <w:t xml:space="preserve"> </w:t>
      </w:r>
      <w:r>
        <w:t xml:space="preserve">For Exclusion rules 1 and 3 we report the random effects model. We report the fixed effects model for Exclusion rule 2 because the optimizer could not reach a solution for the random effects model (OpenMX error code = 5, indicating that the result should not be interpreted).</w:t>
      </w:r>
    </w:p>
  </w:footnote>
  <w:footnote w:id="38">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1" Target="https://openmx.ssri.psu.edu/wiki/errors" TargetMode="Externa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31" Target="https://openmx.ssri.psu.edu/wiki/errors" TargetMode="Externa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2022-04-12T09:46:05Z</dcterms:created>
  <dcterms:modified xsi:type="dcterms:W3CDTF">2022-04-12T09:46:05Z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True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False</vt:lpwstr>
  </property>
  <property fmtid="{D5CDD505-2E9C-101B-9397-08002B2CF9AE}" pid="17" name="wordcount">
    <vt:lpwstr>X</vt:lpwstr>
  </property>
</Properties>
</file>