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rPr>
          <w:rStyle w:val="SectionNumber"/>
        </w:rPr>
        <w:t xml:space="preserve">0.1</w:t>
      </w:r>
      <w:r>
        <w:tab/>
      </w: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29"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8"/>
      </w:r>
    </w:p>
    <w:bookmarkEnd w:id="29"/>
    <w:bookmarkStart w:id="38" w:name="results"/>
    <w:p>
      <w:pPr>
        <w:pStyle w:val="berschrift1"/>
      </w:pPr>
      <w:r>
        <w:rPr>
          <w:rStyle w:val="SectionNumber"/>
        </w:rPr>
        <w:t xml:space="preserve">1</w:t>
      </w:r>
      <w:r>
        <w:tab/>
      </w:r>
      <w:r>
        <w:t xml:space="preserve">Results</w:t>
      </w:r>
    </w:p>
    <w:bookmarkStart w:id="30" w:name="X5624d0496651cf284888f223111f8f07010fd01"/>
    <w:p>
      <w:pPr>
        <w:pStyle w:val="berschrift2"/>
      </w:pPr>
      <w:r>
        <w:rPr>
          <w:rStyle w:val="SectionNumber"/>
        </w:rPr>
        <w:t xml:space="preserve">1.1</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30"/>
    <w:bookmarkStart w:id="31" w:name="X0717cbac05e4bba966b3ebf40da3149f951982b"/>
    <w:p>
      <w:pPr>
        <w:pStyle w:val="berschrift2"/>
      </w:pPr>
      <w:r>
        <w:rPr>
          <w:rStyle w:val="SectionNumber"/>
        </w:rPr>
        <w:t xml:space="preserve">1.2</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1"/>
    <w:bookmarkStart w:id="32" w:name="X29592220de5c9185f2b682c0ce7513d52858c49"/>
    <w:p>
      <w:pPr>
        <w:pStyle w:val="berschrift2"/>
      </w:pPr>
      <w:r>
        <w:rPr>
          <w:rStyle w:val="SectionNumber"/>
        </w:rPr>
        <w:t xml:space="preserve">1.3</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2"/>
    <w:bookmarkStart w:id="33" w:name="X84111581ee6b5e634403d42ca8ac8d478a3dbad"/>
    <w:p>
      <w:pPr>
        <w:pStyle w:val="berschrift2"/>
      </w:pPr>
      <w:r>
        <w:rPr>
          <w:rStyle w:val="SectionNumber"/>
        </w:rPr>
        <w:t xml:space="preserve">1.4</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3"/>
    <w:bookmarkStart w:id="37" w:name="X25153fbcdda6f1aad6cfc2299e4882fdfd02862"/>
    <w:p>
      <w:pPr>
        <w:pStyle w:val="berschrift2"/>
      </w:pPr>
      <w:r>
        <w:rPr>
          <w:rStyle w:val="SectionNumber"/>
        </w:rPr>
        <w:t xml:space="preserve">1.5</w:t>
      </w:r>
      <w:r>
        <w:tab/>
      </w: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4"/>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5"/>
      </w:r>
    </w:p>
    <w:bookmarkStart w:id="36" w:name="refs"/>
    <w:bookmarkEnd w:id="36"/>
    <w:bookmarkEnd w:id="37"/>
    <w:bookmarkEnd w:id="3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both prior Many Labs projects (Klein et al., 2014; 2018, Ebersole et al., 2016) and the pre-registered sample analysis code (</w:t>
      </w:r>
      <w:hyperlink r:id="rId21">
        <w:r>
          <w:rPr>
            <w:rStyle w:val="Hyperlink"/>
          </w:rPr>
          <w:t xml:space="preserve">https://osf.io/4xx6w</w:t>
        </w:r>
      </w:hyperlink>
      <w:r>
        <w:t xml:space="preserve">).</w:t>
      </w:r>
    </w:p>
  </w:footnote>
  <w:footnote w:id="34">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5">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2022-01-13T11:16:26Z</dcterms:created>
  <dcterms:modified xsi:type="dcterms:W3CDTF">2022-01-13T11:16:26Z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