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30"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r>
        <w:rPr>
          <w:rStyle w:val="Funotenzeichen"/>
        </w:rPr>
        <w:footnoteReference w:id="28"/>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9"/>
      </w:r>
    </w:p>
    <w:bookmarkEnd w:id="30"/>
    <w:bookmarkStart w:id="39" w:name="results"/>
    <w:p>
      <w:pPr>
        <w:pStyle w:val="berschrift1"/>
      </w:pPr>
      <w:r>
        <w:rPr>
          <w:rStyle w:val="SectionNumber"/>
        </w:rPr>
        <w:t xml:space="preserve">1</w:t>
      </w:r>
      <w:r>
        <w:tab/>
      </w:r>
      <w:r>
        <w:t xml:space="preserve">Results</w:t>
      </w:r>
    </w:p>
    <w:bookmarkStart w:id="31" w:name="X5624d0496651cf284888f223111f8f07010fd01"/>
    <w:p>
      <w:pPr>
        <w:pStyle w:val="berschrift2"/>
      </w:pPr>
      <w:r>
        <w:rPr>
          <w:rStyle w:val="SectionNumber"/>
        </w:rPr>
        <w:t xml:space="preserve">1.1</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31"/>
    <w:bookmarkStart w:id="32" w:name="X0717cbac05e4bba966b3ebf40da3149f951982b"/>
    <w:p>
      <w:pPr>
        <w:pStyle w:val="berschrift2"/>
      </w:pPr>
      <w:r>
        <w:rPr>
          <w:rStyle w:val="SectionNumber"/>
        </w:rPr>
        <w:t xml:space="preserve">1.2</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2"/>
    <w:bookmarkStart w:id="33" w:name="X29592220de5c9185f2b682c0ce7513d52858c49"/>
    <w:p>
      <w:pPr>
        <w:pStyle w:val="berschrift2"/>
      </w:pPr>
      <w:r>
        <w:rPr>
          <w:rStyle w:val="SectionNumber"/>
        </w:rPr>
        <w:t xml:space="preserve">1.3</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3"/>
    <w:bookmarkStart w:id="34" w:name="X84111581ee6b5e634403d42ca8ac8d478a3dbad"/>
    <w:p>
      <w:pPr>
        <w:pStyle w:val="berschrift2"/>
      </w:pPr>
      <w:r>
        <w:rPr>
          <w:rStyle w:val="SectionNumber"/>
        </w:rPr>
        <w:t xml:space="preserve">1.4</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4"/>
    <w:bookmarkStart w:id="38" w:name="X25153fbcdda6f1aad6cfc2299e4882fdfd02862"/>
    <w:p>
      <w:pPr>
        <w:pStyle w:val="berschrift2"/>
      </w:pPr>
      <w:r>
        <w:rPr>
          <w:rStyle w:val="SectionNumber"/>
        </w:rPr>
        <w:t xml:space="preserve">1.5</w:t>
      </w:r>
      <w:r>
        <w:tab/>
      </w: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5"/>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6"/>
      </w:r>
    </w:p>
    <w:bookmarkStart w:id="37" w:name="refs"/>
    <w:bookmarkEnd w:id="37"/>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Power calculated with the</w:t>
      </w:r>
      <w:r>
        <w:t xml:space="preserve"> </w:t>
      </w:r>
      <w:r>
        <w:t xml:space="preserve">‘</w:t>
      </w:r>
      <w:r>
        <w:t xml:space="preserve">pwr</w:t>
      </w:r>
      <w:r>
        <w:t xml:space="preserve">’</w:t>
      </w:r>
      <w:r>
        <w:t xml:space="preserve"> </w:t>
      </w:r>
      <w:r>
        <w:t xml:space="preserve">R package (Champely, 2020) assuming equal distribution of participants between mortality salience and control conditions, and two-tailed test with alpha of .05..</w:t>
      </w:r>
    </w:p>
  </w:footnote>
  <w:footnote w:id="29">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5">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6">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2022-02-02T14:55:59Z</dcterms:created>
  <dcterms:modified xsi:type="dcterms:W3CDTF">2022-02-02T14:55:59Z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