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Кристалографічна</w:t>
      </w:r>
      <w:r>
        <w:t xml:space="preserve"> </w:t>
      </w:r>
      <w:r>
        <w:t xml:space="preserve">космологія</w:t>
      </w:r>
      <w:r>
        <w:t xml:space="preserve"> </w:t>
      </w:r>
      <w:r>
        <w:t xml:space="preserve">з</w:t>
      </w:r>
      <w:r>
        <w:t xml:space="preserve"> </w:t>
      </w:r>
      <w:r>
        <w:t xml:space="preserve">вимірнісної</w:t>
      </w:r>
      <w:r>
        <w:t xml:space="preserve"> </w:t>
      </w:r>
      <w:r>
        <w:t xml:space="preserve">редукції</w:t>
      </w:r>
      <w:r>
        <w:t xml:space="preserve"> </w:t>
      </w:r>
      <w:r>
        <w:t xml:space="preserve">(CCDR</w:t>
      </w:r>
      <w:r>
        <w:t xml:space="preserve"> </w:t>
      </w:r>
      <w:r>
        <w:t xml:space="preserve">v6.3)</w:t>
      </w:r>
    </w:p>
    <w:p>
      <w:pPr>
        <w:pStyle w:val="Subtitle"/>
      </w:pPr>
      <w:r>
        <w:t xml:space="preserve">Результати</w:t>
      </w:r>
      <w:r>
        <w:t xml:space="preserve"> </w:t>
      </w:r>
      <w:r>
        <w:t xml:space="preserve">раунду</w:t>
      </w:r>
      <w:r>
        <w:t xml:space="preserve"> </w:t>
      </w:r>
      <w:r>
        <w:t xml:space="preserve">3</w:t>
      </w:r>
      <w:r>
        <w:t xml:space="preserve"> </w:t>
      </w:r>
      <w:r>
        <w:t xml:space="preserve">та</w:t>
      </w:r>
      <w:r>
        <w:t xml:space="preserve"> </w:t>
      </w:r>
      <w:r>
        <w:t xml:space="preserve">подальше</w:t>
      </w:r>
      <w:r>
        <w:t xml:space="preserve"> </w:t>
      </w:r>
      <w:r>
        <w:t xml:space="preserve">застереження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CCDR v6.3 включає вісім тестів стійкості раунду 3 у структуру v6.2. Структурна каскадна картина незмінна. Три подальші числові відступи та одне нове структурне визнання: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Сигнал ν зосереджений у низько-z даних Pantheon+ і зникає при високому z.</w:t>
      </w:r>
      <w:r>
        <w:t xml:space="preserve"> </w:t>
      </w:r>
      <w:r>
        <w:t xml:space="preserve">Томографічні підгонки дають: повна вибірка 1.89σ; SN(z&lt;0.5)+BAO 1.52σ; SN(z&gt;0.5)+BAO</w:t>
      </w:r>
      <w:r>
        <w:t xml:space="preserve"> </w:t>
      </w:r>
      <w:r>
        <w:rPr>
          <w:bCs/>
          <w:b/>
        </w:rPr>
        <w:t xml:space="preserve">0.66σ</w:t>
      </w:r>
      <w:r>
        <w:t xml:space="preserve">; всі SN + BAO(лише низько-z)</w:t>
      </w:r>
      <w:r>
        <w:t xml:space="preserve"> </w:t>
      </w:r>
      <w:r>
        <w:rPr>
          <w:bCs/>
          <w:b/>
        </w:rPr>
        <w:t xml:space="preserve">0.0σ</w:t>
      </w:r>
      <w:r>
        <w:t xml:space="preserve">. Космологічний біжучий вакуум повинен мати найсильніший відбиток при</w:t>
      </w:r>
      <w:r>
        <w:t xml:space="preserve"> </w:t>
      </w:r>
      <w:r>
        <w:rPr>
          <w:iCs/>
          <w:i/>
        </w:rPr>
        <w:t xml:space="preserve">високому</w:t>
      </w:r>
      <w:r>
        <w:t xml:space="preserve"> </w:t>
      </w:r>
      <w:r>
        <w:t xml:space="preserve">червоному зміщенні; емпіричний сигнал робить протилежне. v6.3 перекласифіковує P21 на</w:t>
      </w:r>
      <w:r>
        <w:t xml:space="preserve"> </w:t>
      </w:r>
      <w:r>
        <w:t xml:space="preserve">“</w:t>
      </w:r>
      <w:r>
        <w:t xml:space="preserve">керований низько-z SN, протилежна очікуваній поведінка щодо червоного зміщення, ймовірно артефакт систематик SN, а не космологічний біжучий вакуум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Аудит блоку нюисансів Pantheon+ виявляє нестабільну поведінку.</w:t>
      </w:r>
      <w:r>
        <w:t xml:space="preserve"> </w:t>
      </w:r>
      <w:r>
        <w:t xml:space="preserve">Перемикання z_CMB ↔ z_hel змінює значущість з 1.89σ на 2.53σ; розділення за масою хоста дає 2.02σ (низька) проти 1.04σ (висока). Космологічний сигнал повинен бути інваріантним. Нестабільність сумісна з SN-систематичним походженням.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Сигнал одного піка w(z) не виживає тестування когерентності.</w:t>
      </w:r>
      <w:r>
        <w:t xml:space="preserve"> </w:t>
      </w:r>
      <w:r>
        <w:t xml:space="preserve">Виживший пік раунду 2 при 10.89 циклів/z змістився до ~1.0 циклів/z у повній вибірці раунду 3, а підмножини дають дико різні найкращі частоти.</w:t>
      </w:r>
      <w:r>
        <w:t xml:space="preserve"> </w:t>
      </w:r>
      <w:r>
        <w:rPr>
          <w:bCs/>
          <w:b/>
        </w:rPr>
        <w:t xml:space="preserve">v6.3 повністю відкликає твердження про один пік.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Незалежна публічна реплікація філаментів провалюється.</w:t>
      </w:r>
      <w:r>
        <w:t xml:space="preserve"> </w:t>
      </w:r>
      <w:r>
        <w:t xml:space="preserve">Експоненційна шкала kNN-PCA = 1.7×10¹¹ Mpc/h (вироджена підгонка). Кореляція кривих двох незалежних шукачів = 0.234.</w:t>
      </w:r>
      <w:r>
        <w:t xml:space="preserve"> </w:t>
      </w:r>
      <w:r>
        <w:rPr>
          <w:bCs/>
          <w:b/>
        </w:rPr>
        <w:t xml:space="preserve">Сигнал Tempel тепер спростовано двома незалежними реконструкціями. v6.3 позначає P3 як спростований незалежною реплікацією</w:t>
      </w:r>
      <w:r>
        <w:t xml:space="preserve">, а не лише</w:t>
      </w:r>
      <w:r>
        <w:t xml:space="preserve"> </w:t>
      </w:r>
      <w:r>
        <w:t xml:space="preserve">“</w:t>
      </w:r>
      <w:r>
        <w:t xml:space="preserve">застережений</w:t>
      </w:r>
      <w:r>
        <w:t xml:space="preserve">”</w:t>
      </w:r>
      <w:r>
        <w:t xml:space="preserve">. Стаття-супутник Тесту 11 має бути</w:t>
      </w:r>
      <w:r>
        <w:t xml:space="preserve"> </w:t>
      </w:r>
      <w:r>
        <w:rPr>
          <w:bCs/>
          <w:b/>
        </w:rPr>
        <w:t xml:space="preserve">відкликана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Локальне відступлення a₀ → Мілгром виживає</w:t>
      </w:r>
      <w:r>
        <w:t xml:space="preserve"> </w:t>
      </w:r>
      <w:r>
        <w:t xml:space="preserve">з тим самим значенням (1.0997 × 10⁻¹⁰ м с⁻², −8.4% від Мілгрома). Запланована підмножинна ієрархічна підгонка не змогла запуститися, оскільки публічні таблиці SPARC не експонують міток галактик. v6.3 записує: a₀ залишається єдиним надійним підтвердженням, але раунд 3 не надав нових доказів стрес-тестування.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Сканування спільної шкали Койде підтверджує висновок раунду 2.</w:t>
      </w:r>
      <w:r>
        <w:t xml:space="preserve"> </w:t>
      </w:r>
      <w:r>
        <w:t xml:space="preserve">Найменша спільна відстань від 2/3 = 0.232 — велика.</w:t>
      </w:r>
      <w:r>
        <w:t xml:space="preserve"> </w:t>
      </w:r>
      <w:r>
        <w:rPr>
          <w:bCs/>
          <w:b/>
        </w:rPr>
        <w:t xml:space="preserve">Жодної спільної шкали не існує.</w:t>
      </w:r>
      <w:r>
        <w:t xml:space="preserve"> </w:t>
      </w:r>
      <w:r>
        <w:t xml:space="preserve">v6.3 підвищує</w:t>
      </w:r>
      <w:r>
        <w:t xml:space="preserve"> </w:t>
      </w:r>
      <w:r>
        <w:t xml:space="preserve">“</w:t>
      </w:r>
      <w:r>
        <w:t xml:space="preserve">структурне застереження</w:t>
      </w:r>
      <w:r>
        <w:t xml:space="preserve">”</w:t>
      </w:r>
      <w:r>
        <w:t xml:space="preserve"> </w:t>
      </w:r>
      <w:r>
        <w:t xml:space="preserve">v6.2 до</w:t>
      </w:r>
      <w:r>
        <w:t xml:space="preserve"> </w:t>
      </w:r>
      <w:r>
        <w:rPr>
          <w:bCs/>
          <w:b/>
        </w:rPr>
        <w:t xml:space="preserve">структурного зобов’язання</w:t>
      </w:r>
      <w:r>
        <w:t xml:space="preserve">: фреймворк формально потребує секторо-залежних масштабів кристалізації для заряджених лептонів, верхніх кварків і нижніх кварків.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Аудит готовності твердого ядра ТМ є інформативним.</w:t>
      </w:r>
      <w:r>
        <w:t xml:space="preserve"> </w:t>
      </w:r>
      <w:r>
        <w:t xml:space="preserve">320 публічних ресурсів прямого виявлення, 46 завантажених таблиць,</w:t>
      </w:r>
      <w:r>
        <w:t xml:space="preserve"> </w:t>
      </w:r>
      <w:r>
        <w:rPr>
          <w:bCs/>
          <w:b/>
        </w:rPr>
        <w:t xml:space="preserve">жодна не перекриває передбачуване вікно другого піка 500–3000 ГеВ</w:t>
      </w:r>
      <w:r>
        <w:t xml:space="preserve">.</w:t>
      </w:r>
      <w:r>
        <w:t xml:space="preserve"> </w:t>
      </w:r>
      <w:r>
        <w:rPr>
          <w:rStyle w:val="VerbatimChar"/>
        </w:rPr>
        <w:t xml:space="preserve">hard_core_ready_now = False</w:t>
      </w:r>
      <w:r>
        <w:t xml:space="preserve">. Розрив структурний.</w:t>
      </w:r>
    </w:p>
    <w:p>
      <w:pPr>
        <w:pStyle w:val="FirstParagraph"/>
      </w:pPr>
      <w:r>
        <w:t xml:space="preserve">Чесний підрахунок після раунду 3:</w:t>
      </w:r>
      <w:r>
        <w:t xml:space="preserve"> </w:t>
      </w:r>
      <w:r>
        <w:rPr>
          <w:bCs/>
          <w:b/>
        </w:rPr>
        <w:t xml:space="preserve">одне надійне підтвердження (a₀, без нового стрес-тесту в раунді 3), нуль слабких сигналів (ν 1.9σ тепер ідентифіковано як низько-z SN-керований і нестабільний), три відкликання або спростування (багатогармонічне w(z), одногармонічне w(z), вирівнювання філаментів), одне стійке структурне застереження (шкали Койде), одне структурно непротестоване тверде ядро.</w:t>
      </w:r>
    </w:p>
    <w:bookmarkEnd w:id="20"/>
    <w:bookmarkStart w:id="21" w:name="оновлена-таблиця-статусу"/>
    <w:p>
      <w:pPr>
        <w:pStyle w:val="Heading1"/>
      </w:pPr>
      <w:r>
        <w:t xml:space="preserve">1. Оновлена таблиця статусу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RVM 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≈ 0.025, 1.9σ, SN-керовано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Низько-z SN-керовано, зникає при високому z, ймовірний систематичний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філаменти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Застережено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Спростовано незалежною реплікацією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P7-розш.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Відкликано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Відкликано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Одногарм.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Відкликано; немає когерентного піка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локальне a₀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Надійно підтверджено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Підтверджено (без нових доказів у раунді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§6.3 Койде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спільної шкали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Підтверджено; секторо-залежні шкали тепер структурні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Каскадне тверде ядро ТМ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Непротестовано; розрив структурно підтверджено</w:t>
            </w:r>
          </w:p>
        </w:tc>
      </w:tr>
    </w:tbl>
    <w:bookmarkEnd w:id="21"/>
    <w:bookmarkStart w:id="22" w:name="стан-v6-після-трьох-раундів"/>
    <w:p>
      <w:pPr>
        <w:pStyle w:val="Heading1"/>
      </w:pPr>
      <w:r>
        <w:t xml:space="preserve">2. Стан v6 після трьох раундів</w:t>
      </w:r>
    </w:p>
    <w:p>
      <w:pPr>
        <w:pStyle w:val="FirstParagraph"/>
      </w:pPr>
      <w:r>
        <w:t xml:space="preserve">Каскадна картина як</w:t>
      </w:r>
      <w:r>
        <w:t xml:space="preserve"> </w:t>
      </w:r>
      <w:r>
        <w:rPr>
          <w:iCs/>
          <w:i/>
        </w:rPr>
        <w:t xml:space="preserve">структурна</w:t>
      </w:r>
      <w:r>
        <w:t xml:space="preserve"> </w:t>
      </w:r>
      <w:r>
        <w:t xml:space="preserve">пропозиція не зачеплена жодним з трьох раундів, оскільки жоден тест ще не зондував каскадне тверде ядро. Емпіричний стан периферії:</w:t>
      </w:r>
      <w:r>
        <w:t xml:space="preserve"> </w:t>
      </w:r>
      <w:r>
        <w:rPr>
          <w:bCs/>
          <w:b/>
        </w:rPr>
        <w:t xml:space="preserve">підтверджено</w:t>
      </w:r>
      <w:r>
        <w:t xml:space="preserve"> </w:t>
      </w:r>
      <w:r>
        <w:t xml:space="preserve">локальне a₀ → Мілгром;</w:t>
      </w:r>
      <w:r>
        <w:t xml:space="preserve"> </w:t>
      </w:r>
      <w:r>
        <w:rPr>
          <w:bCs/>
          <w:b/>
        </w:rPr>
        <w:t xml:space="preserve">наводячий, але ненадійний</w:t>
      </w:r>
      <w:r>
        <w:t xml:space="preserve"> </w:t>
      </w:r>
      <w:r>
        <w:t xml:space="preserve">ν &gt; 0 у низько-z SN секторі;</w:t>
      </w:r>
      <w:r>
        <w:t xml:space="preserve"> </w:t>
      </w:r>
      <w:r>
        <w:rPr>
          <w:bCs/>
          <w:b/>
        </w:rPr>
        <w:t xml:space="preserve">спростовано</w:t>
      </w:r>
      <w:r>
        <w:t xml:space="preserve"> </w:t>
      </w:r>
      <w:r>
        <w:t xml:space="preserve">P3, P7-розш., одногарм. w(z), P9a, P9c;</w:t>
      </w:r>
      <w:r>
        <w:t xml:space="preserve"> </w:t>
      </w:r>
      <w:r>
        <w:rPr>
          <w:bCs/>
          <w:b/>
        </w:rPr>
        <w:t xml:space="preserve">обмежено</w:t>
      </w:r>
      <w:r>
        <w:t xml:space="preserve"> </w:t>
      </w:r>
      <w:r>
        <w:t xml:space="preserve">одношкальність Койде;</w:t>
      </w:r>
      <w:r>
        <w:t xml:space="preserve"> </w:t>
      </w:r>
      <w:r>
        <w:rPr>
          <w:bCs/>
          <w:b/>
        </w:rPr>
        <w:t xml:space="preserve">непротестоване</w:t>
      </w:r>
      <w:r>
        <w:t xml:space="preserve"> </w:t>
      </w:r>
      <w:r>
        <w:t xml:space="preserve">каскадне тверде ядро.</w:t>
      </w:r>
    </w:p>
    <w:p>
      <w:pPr>
        <w:pStyle w:val="BodyText"/>
      </w:pPr>
      <w:r>
        <w:t xml:space="preserve">Це некомфортно.</w:t>
      </w:r>
      <w:r>
        <w:t xml:space="preserve"> </w:t>
      </w:r>
      <w:r>
        <w:rPr>
          <w:bCs/>
          <w:b/>
        </w:rPr>
        <w:t xml:space="preserve">Фреймворк не спростовано, але й не суттєво підтверджено.</w:t>
      </w:r>
      <w:r>
        <w:t xml:space="preserve"> </w:t>
      </w:r>
      <w:r>
        <w:t xml:space="preserve">Єдиний міцний емпіричний якір — це</w:t>
      </w:r>
      <w:r>
        <w:t xml:space="preserve"> </w:t>
      </w:r>
      <w:r>
        <w:rPr>
          <w:iCs/>
          <w:i/>
        </w:rPr>
        <w:t xml:space="preserve">відступлення</w:t>
      </w:r>
      <w:r>
        <w:t xml:space="preserve"> </w:t>
      </w:r>
      <w:r>
        <w:t xml:space="preserve">від твердження v5, а не позитивний прогноз. Єдиний навідний сигнал статистично і фізично вказує не в той бік.</w:t>
      </w:r>
    </w:p>
    <w:bookmarkEnd w:id="22"/>
    <w:bookmarkStart w:id="23" w:name="висновок"/>
    <w:p>
      <w:pPr>
        <w:pStyle w:val="Heading1"/>
      </w:pPr>
      <w:r>
        <w:t xml:space="preserve">3. Висновок</w:t>
      </w:r>
    </w:p>
    <w:p>
      <w:pPr>
        <w:pStyle w:val="FirstParagraph"/>
      </w:pPr>
      <w:r>
        <w:t xml:space="preserve">v6.3 займає позицію, що каскадну картину слід тримати в очікуванні до: (a) DESI DR3 для космологічного вирішення ν; (b) Roman/LSST для тесту багатогармонічного w(z); (c) тонно-масштабного прямого виявлення в діапазоні ТеВ для запуску тесту твердого ядра. Жодне з цього недоступне зараз. Тим часом не повинно робитися жодних подальших підтверджуючих тверджень на самих лише публічних даних.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з вимірнісної редукції (CCDR v6.3)</dc:title>
  <dc:creator>[Імена авторів приховано]</dc:creator>
  <dc:language>uk</dc:language>
  <cp:keywords/>
  <dcterms:created xsi:type="dcterms:W3CDTF">2026-04-11T20:44:22Z</dcterms:created>
  <dcterms:modified xsi:type="dcterms:W3CDTF">2026-04-11T20:44:22Z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Результати раунду 3 та подальше застереження</vt:lpwstr>
  </property>
</Properties>
</file>