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Crystallographic</w:t>
      </w:r>
      <w:r>
        <w:t xml:space="preserve"> </w:t>
      </w:r>
      <w:r>
        <w:t xml:space="preserve">Synthesis</w:t>
      </w:r>
      <w:r>
        <w:t xml:space="preserve"> </w:t>
      </w:r>
      <w:r>
        <w:t xml:space="preserve">(v2.3)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6,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CCDR</w:t>
      </w:r>
      <w:r>
        <w:t xml:space="preserve"> </w:t>
      </w:r>
      <w:r>
        <w:t xml:space="preserve">v6.3,</w:t>
      </w:r>
      <w:r>
        <w:t xml:space="preserve"> </w:t>
      </w:r>
      <w:r>
        <w:t xml:space="preserve">after</w:t>
      </w:r>
      <w:r>
        <w:t xml:space="preserve"> </w:t>
      </w:r>
      <w:r>
        <w:t xml:space="preserve">three</w:t>
      </w:r>
      <w:r>
        <w:t xml:space="preserve"> </w:t>
      </w:r>
      <w:r>
        <w:t xml:space="preserve">rounds</w:t>
      </w:r>
      <w:r>
        <w:t xml:space="preserve"> </w:t>
      </w:r>
      <w:r>
        <w:t xml:space="preserve">of</w:t>
      </w:r>
      <w:r>
        <w:t xml:space="preserve"> </w:t>
      </w:r>
      <w:r>
        <w:t xml:space="preserve">public-data</w:t>
      </w:r>
      <w:r>
        <w:t xml:space="preserve"> </w:t>
      </w:r>
      <w:r>
        <w:t xml:space="preserve">testing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withheld]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Synthesis v2.3 incorporates the eight round-3 robustness tests into the v2.2 architecture. The 12 + 3 + 6 architecture is preserved. No layer is structurally falsified. Three numerical retreats: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P21 reclassified.</w:t>
      </w:r>
      <w:r>
        <w:t xml:space="preserve"> </w:t>
      </w:r>
      <w:r>
        <w:t xml:space="preserve">The ν &gt; 0 signal is concentrated in low-z Pantheon+ SNe (1.89σ full sample, 0.66σ in z &gt; 0.5, ~0σ in BAO-only-low-z), and is unstable across nuisance choices (z_cmb 1.89σ vs z_hel 2.53σ; hostmass_low 2.02σ vs hostmass_high 1.04σ). v2.3 marks P21 as</w:t>
      </w:r>
      <w:r>
        <w:t xml:space="preserve"> </w:t>
      </w:r>
      <w:r>
        <w:t xml:space="preserve">“</w:t>
      </w:r>
      <w:r>
        <w:t xml:space="preserve">low-z SN signal of unknown origin, plausibly a Pantheon+ systematic, opposite of expected redshift behaviour for a cosmological running vacuum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P3 (filament alignment) marked falsified.</w:t>
      </w:r>
      <w:r>
        <w:t xml:space="preserve"> </w:t>
      </w:r>
      <w:r>
        <w:t xml:space="preserve">Two independent reconstructions (kNN PCA, dual transparent finder) fail to recover the Tempel signal; finder-curve correlation 0.234, independent-fit scale 10¹¹ Mpc/h (degenerate). The Tempel result is now identified as a Bisous-reconstruction artefact.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single-peak w(z) survivor of v2.2 retracted.</w:t>
      </w:r>
      <w:r>
        <w:t xml:space="preserve"> </w:t>
      </w:r>
      <w:r>
        <w:t xml:space="preserve">Round-3 coherence testing shows the peak at 10.89 cycles/redshift in v2.2 has shifted to ~1 cycle/redshift in the round-3 full sample, and subsets give wildly different best frequencies (z_low: 18; z_high: 0.88; survey_1: 16.75). No coherent peak across redshift or survey splits.</w:t>
      </w:r>
    </w:p>
    <w:p>
      <w:pPr>
        <w:pStyle w:val="FirstParagraph"/>
      </w:pPr>
      <w:r>
        <w:t xml:space="preserve">The single robust empirical anchor remains the local a₀ → Milgrom retreat (Test 10 / Test 6, unchanged in round 3). The Koide common-scale scan confirms that no privileged scale exists at which all three sector ratios meet 2/3 (best joint distance 0.232). The cascade hard core remains structurally untestable: the round-3 readiness audit found 320 candidate public direct-detection resources, 46 numeric tables loaded,</w:t>
      </w:r>
      <w:r>
        <w:t xml:space="preserve"> </w:t>
      </w:r>
      <w:r>
        <w:rPr>
          <w:bCs/>
          <w:b/>
        </w:rPr>
        <w:t xml:space="preserve">zero overlapping the predicted second-peak window of 500–3000 GeV</w:t>
      </w:r>
      <w:r>
        <w:t xml:space="preserve">.</w:t>
      </w:r>
    </w:p>
    <w:bookmarkEnd w:id="20"/>
    <w:bookmarkStart w:id="21" w:name="updated-status-of-predictions"/>
    <w:p>
      <w:pPr>
        <w:pStyle w:val="Heading1"/>
      </w:pPr>
      <w:r>
        <w:t xml:space="preserve">1. Updated Status of Predictions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 (ν as TGFT-RG IR fixed 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≈ 0.025, 1.9σ, SN-driven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Low-z SN-driven, vanishes at high z, plausible systematic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P22, P23, P26, P27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 (DA/O N ≤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 (DM peak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mass 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structural gap (320 resources, 0 in window)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 (μ/y CMB)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FIRAS-consistent, future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Inherited v5 predictions: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filament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Falsified by independent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KSS QGP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Near-saturated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Near-saturated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P7-ext multi-harmonic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Single-peak w(z) (v2.2 survivor)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Retracted; no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P9a, P9c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P9d R_K = √3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local a₀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Robustly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(no new round-3 evidence)</w:t>
            </w:r>
          </w:p>
        </w:tc>
      </w:tr>
    </w:tbl>
    <w:bookmarkEnd w:id="21"/>
    <w:bookmarkStart w:id="22" w:name="effect-on-the-12-frameworks"/>
    <w:p>
      <w:pPr>
        <w:pStyle w:val="Heading1"/>
      </w:pPr>
      <w:r>
        <w:t xml:space="preserve">2. Effect on the 12 Frameworks</w:t>
      </w:r>
    </w:p>
    <w:p>
      <w:pPr>
        <w:pStyle w:val="FirstParagraph"/>
      </w:pPr>
      <w:r>
        <w:rPr>
          <w:bCs/>
          <w:b/>
        </w:rPr>
        <w:t xml:space="preserve">RVM (1.4)</w:t>
      </w:r>
      <w:r>
        <w:t xml:space="preserve"> </w:t>
      </w:r>
      <w:r>
        <w:t xml:space="preserve">— the empirical ν central value remains ~0.025, but the round-3 tomography shows it is not a cosmological signal in the expected sense: it lives in the wrong redshift bin and is unstable under SN nuisance choices. v2.3 records P21 as</w:t>
      </w:r>
      <w:r>
        <w:t xml:space="preserve"> </w:t>
      </w:r>
      <w:r>
        <w:t xml:space="preserve">“</w:t>
      </w:r>
      <w:r>
        <w:t xml:space="preserve">weak signal of unclear physical origin</w:t>
      </w:r>
      <w:r>
        <w:t xml:space="preserve">”</w:t>
      </w:r>
      <w:r>
        <w:t xml:space="preserve">; the TGFT-RG identification of ν with an IR fixed point cannot be tested at this level of confidence.</w:t>
      </w:r>
    </w:p>
    <w:p>
      <w:pPr>
        <w:pStyle w:val="BodyText"/>
      </w:pPr>
      <w:r>
        <w:rPr>
          <w:bCs/>
          <w:b/>
        </w:rPr>
        <w:t xml:space="preserve">TGFT-RG (1.9), Resolution Paths 1 and 6</w:t>
      </w:r>
      <w:r>
        <w:t xml:space="preserve"> </w:t>
      </w:r>
      <w:r>
        <w:t xml:space="preserve">— paths were unblocked in v2.2 once an audit-converged ν existed. v2.3 leaves them unblocked but notes that with the round-3 reinterpretation of the ν signal as plausibly systematic, the urgency of running them is reduced. Stage-by-stage Bahr–Steinhaus implementation should still proceed, but its results will not be empirically anchorable to a confirmed cosmological ν until DESI DR3.</w:t>
      </w:r>
    </w:p>
    <w:p>
      <w:pPr>
        <w:pStyle w:val="BodyText"/>
      </w:pPr>
      <w:r>
        <w:rPr>
          <w:bCs/>
          <w:b/>
        </w:rPr>
        <w:t xml:space="preserve">SSM (1.3) and the Koide reading (CCDR §6.3)</w:t>
      </w:r>
      <w:r>
        <w:t xml:space="preserve"> </w:t>
      </w:r>
      <w:r>
        <w:t xml:space="preserve">— round-3 confirms that no common privileged scale exists at which all three sector ratios meet 2/3. The minimum joint distance is 0.232, far from 0. v2.3 elevates the v2.2</w:t>
      </w:r>
      <w:r>
        <w:t xml:space="preserve"> </w:t>
      </w:r>
      <w:r>
        <w:t xml:space="preserve">“</w:t>
      </w:r>
      <w:r>
        <w:t xml:space="preserve">structural caveat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rPr>
          <w:bCs/>
          <w:b/>
        </w:rPr>
        <w:t xml:space="preserve">structural commitment</w:t>
      </w:r>
      <w:r>
        <w:t xml:space="preserve">: the framework now formally requires sector-dependent crystallisation scales for charged leptons, up-type quarks, and down-type quarks, and owes a first-principles derivation of why these three energies differ. This is the most concrete theoretical task for v3.</w:t>
      </w:r>
    </w:p>
    <w:p>
      <w:pPr>
        <w:pStyle w:val="BodyText"/>
      </w:pPr>
      <w:r>
        <w:rPr>
          <w:bCs/>
          <w:b/>
        </w:rPr>
        <w:t xml:space="preserve">DA/O (1.10), HaPPY (1.11), AQN (1.5), CDT (1.6), TN (1.7), GFT+EPRL (1.8), AS (1.2), LGT (1.1), CCDR (1.12)</w:t>
      </w:r>
      <w:r>
        <w:t xml:space="preserve"> </w:t>
      </w:r>
      <w:r>
        <w:t xml:space="preserve">— roles unchanged from v2.2. None of the round-3 tests directly probes these layers.</w:t>
      </w:r>
    </w:p>
    <w:bookmarkEnd w:id="22"/>
    <w:bookmarkStart w:id="23" w:name="the-three-branches"/>
    <w:p>
      <w:pPr>
        <w:pStyle w:val="Heading1"/>
      </w:pPr>
      <w:r>
        <w:t xml:space="preserve">3. The Three Branches</w:t>
      </w:r>
    </w:p>
    <w:p>
      <w:pPr>
        <w:pStyle w:val="FirstParagraph"/>
      </w:pPr>
      <w:r>
        <w:t xml:space="preserve">Branch architecture is unchanged. With the local a₀ retreat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robustly confirmed empirical anchor of the synthesis after three rounds, the EG ↔ CDT+TN branch remains the most defensible fallback: if the cascade interpretation collapses, EG can still reproduce the Milgrom value, which is the one piece of cosmological data the framework actually predicts well.</w:t>
      </w:r>
    </w:p>
    <w:bookmarkEnd w:id="23"/>
    <w:bookmarkStart w:id="24" w:name="the-six-resolution-paths"/>
    <w:p>
      <w:pPr>
        <w:pStyle w:val="Heading1"/>
      </w:pPr>
      <w:r>
        <w:t xml:space="preserve">4. The Six Resolution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Swampland → cascade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Unblocked, not yet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Unblocked, urgency reduced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Neutrino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C₀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Strong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Quantum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Bahr–Steinhaus stage by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Unblocked, not yet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Unblocked, urgency reduced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urgency reduced</w:t>
      </w:r>
      <w:r>
        <w:t xml:space="preserve">”</w:t>
      </w:r>
      <w:r>
        <w:t xml:space="preserve"> </w:t>
      </w:r>
      <w:r>
        <w:t xml:space="preserve">note on Paths 1 and 6 reflects the fact that with ν reinterpreted as a probable Pantheon+ systematic, anchoring TGFT-RG fixed-point predictions to ν ≈ 0.025 risks tying the synthesis to a value that may evaporate when DESI DR3 arrives.</w:t>
      </w:r>
    </w:p>
    <w:bookmarkEnd w:id="24"/>
    <w:bookmarkStart w:id="25" w:name="layered-falsifiability-round-3-update"/>
    <w:p>
      <w:pPr>
        <w:pStyle w:val="Heading1"/>
      </w:pPr>
      <w:r>
        <w:t xml:space="preserve">5. Layered Falsifiability — Round-3 Update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(CDT + cascade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(gap structurally confirmed)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(GFT + TGFT-RG)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audit closed; weak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ν reinterpreted as low-z SN-driven systematic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(TN + HaPPY)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(SSM + AS + DA/O)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Consistent with new sector-dependent scales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(RVM + CCDR)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Mixed: a₀ confirmed, P3 hedged, P7-ext retracted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a₀ confirmed; P3 falsified; P7-ext and single-peak retracted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(baryogenesis)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layer is destabilised by round 3</w:t>
      </w:r>
      <w:r>
        <w:t xml:space="preserve">, but Layer 4’s empirical support is now the local a₀ result alone.</w:t>
      </w:r>
    </w:p>
    <w:bookmarkEnd w:id="25"/>
    <w:bookmarkStart w:id="26" w:name="open-problems-after-round-3"/>
    <w:p>
      <w:pPr>
        <w:pStyle w:val="Heading1"/>
      </w:pPr>
      <w:r>
        <w:t xml:space="preserve">6. Open Problems After Round 3</w:t>
      </w:r>
    </w:p>
    <w:p>
      <w:pPr>
        <w:pStyle w:val="FirstParagraph"/>
      </w:pPr>
      <w:r>
        <w:rPr>
          <w:bCs/>
          <w:b/>
        </w:rPr>
        <w:t xml:space="preserve">6.1 The ν redshift problem.</w:t>
      </w:r>
      <w:r>
        <w:t xml:space="preserve"> </w:t>
      </w:r>
      <w:r>
        <w:t xml:space="preserve">The round-3 tomography shows the empirical signal lives in the wrong redshift bin for a cosmological running vacuum. Either the SN systematics are responsible, or the running vacuum is not cosmological in the v6 sense. Resolution requires DESI DR3 (BAO-driven, independent of SN systematics).</w:t>
      </w:r>
    </w:p>
    <w:p>
      <w:pPr>
        <w:pStyle w:val="BodyText"/>
      </w:pPr>
      <w:r>
        <w:rPr>
          <w:bCs/>
          <w:b/>
        </w:rPr>
        <w:t xml:space="preserve">6.2 The filament alignment debunking.</w:t>
      </w:r>
      <w:r>
        <w:t xml:space="preserve"> </w:t>
      </w:r>
      <w:r>
        <w:t xml:space="preserve">P3 is now falsified across two independent reconstructions. The companion Test 11 paper should be</w:t>
      </w:r>
      <w:r>
        <w:t xml:space="preserve"> </w:t>
      </w:r>
      <w:r>
        <w:rPr>
          <w:bCs/>
          <w:b/>
        </w:rPr>
        <w:t xml:space="preserve">withdrawn</w:t>
      </w:r>
      <w:r>
        <w:t xml:space="preserve">, not merely revised. Any future filament-alignment claim must be made against multiple catalogues from the start.</w:t>
      </w:r>
    </w:p>
    <w:p>
      <w:pPr>
        <w:pStyle w:val="BodyText"/>
      </w:pPr>
      <w:r>
        <w:rPr>
          <w:bCs/>
          <w:b/>
        </w:rPr>
        <w:t xml:space="preserve">6.3 The cascade hard-core gap.</w:t>
      </w:r>
      <w:r>
        <w:t xml:space="preserve"> </w:t>
      </w:r>
      <w:r>
        <w:t xml:space="preserve">320 public direct-detection resources, 0 in the predicted window. The gap is structural. No public-data round can test the hard core; it requires waiting on next-generation tonne-scale facilities.</w:t>
      </w:r>
    </w:p>
    <w:p>
      <w:pPr>
        <w:pStyle w:val="BodyText"/>
      </w:pPr>
      <w:r>
        <w:rPr>
          <w:bCs/>
          <w:b/>
        </w:rPr>
        <w:t xml:space="preserve">6.4 The Koide sector-dependent-scale derivation.</w:t>
      </w:r>
      <w:r>
        <w:t xml:space="preserve"> </w:t>
      </w:r>
      <w:r>
        <w:t xml:space="preserve">v2.3 has made this a structural commitment. A first-principles derivation of why charged leptons, up-quarks, and down-quarks crystallise at three different energies is now owed by the framework. v3 must either provide it or admit the Koide reading is purely numerological.</w:t>
      </w:r>
    </w:p>
    <w:bookmarkEnd w:id="26"/>
    <w:bookmarkStart w:id="27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After three rounds of public-data testing the synthesis architecture is intact but its empirical posture is more cautious than at any previous version. The single robust confirmation across all three rounds is the local a₀ → Milgrom retreat — a</w:t>
      </w:r>
      <w:r>
        <w:t xml:space="preserve"> </w:t>
      </w:r>
      <w:r>
        <w:rPr>
          <w:iCs/>
          <w:i/>
        </w:rPr>
        <w:t xml:space="preserve">retreat</w:t>
      </w:r>
      <w:r>
        <w:t xml:space="preserve"> </w:t>
      </w:r>
      <w:r>
        <w:t xml:space="preserve">from v5, not a positive prediction. The single suggestive signal (ν &gt; 0 from low-z SNe) lives in the wrong redshift bin and is unstable under SN nuisance choices. Every other previously-claimed support has been retracted, hedged, or outright falsified by independent replication.</w:t>
      </w:r>
    </w:p>
    <w:p>
      <w:pPr>
        <w:pStyle w:val="BodyText"/>
      </w:pPr>
      <w:r>
        <w:t xml:space="preserve">The cascade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proposal remains intact but unconfirmed, and the diagnostic test is structurally unavailable.</w:t>
      </w:r>
      <w:r>
        <w:t xml:space="preserve"> </w:t>
      </w:r>
      <w:r>
        <w:rPr>
          <w:bCs/>
          <w:b/>
        </w:rPr>
        <w:t xml:space="preserve">v2.3’s recommendation:</w:t>
      </w:r>
      <w:r>
        <w:t xml:space="preserve"> </w:t>
      </w:r>
      <w:r>
        <w:t xml:space="preserve">no further confirmatory claims should be made on public data alone. Round 4, when it occurs, should focus on (1) DESI DR3 ν re-derivation as soon as released, (2) waiting for tonne-scale direct detection rather than scanning current limit-curve datasets that lack the relevant mass reach, (3) executing the Bahr–Steinhaus stage-by-stage path as a</w:t>
      </w:r>
      <w:r>
        <w:t xml:space="preserve"> </w:t>
      </w:r>
      <w:r>
        <w:rPr>
          <w:iCs/>
          <w:i/>
        </w:rPr>
        <w:t xml:space="preserve">theoretical</w:t>
      </w:r>
      <w:r>
        <w:t xml:space="preserve"> </w:t>
      </w:r>
      <w:r>
        <w:t xml:space="preserve">exercise without empirical anchoring, and (4) providing the sector-dependent-scale derivation owed since round 2.</w:t>
      </w:r>
    </w:p>
    <w:p>
      <w:pPr>
        <w:pStyle w:val="BodyText"/>
      </w:pPr>
      <w:r>
        <w:t xml:space="preserve">The methodological commitment of v2.2 — that all future predictions must come with explicit falsification logic, leave-one-out checks, null controls, and independent replication — is reaffirmed in v2.3, and now extended:</w:t>
      </w:r>
      <w:r>
        <w:t xml:space="preserve"> </w:t>
      </w:r>
      <w:r>
        <w:rPr>
          <w:bCs/>
          <w:b/>
        </w:rPr>
        <w:t xml:space="preserve">independent replication is no longer optional</w:t>
      </w:r>
      <w:r>
        <w:t xml:space="preserve">. Round 3 made the cost of single-catalogue or single-fit</w:t>
      </w:r>
      <w:r>
        <w:t xml:space="preserve"> </w:t>
      </w:r>
      <w:r>
        <w:t xml:space="preserve">“</w:t>
      </w:r>
      <w:r>
        <w:t xml:space="preserve">discoveries</w:t>
      </w:r>
      <w:r>
        <w:t xml:space="preserve">”</w:t>
      </w:r>
      <w:r>
        <w:t xml:space="preserve"> </w:t>
      </w:r>
      <w:r>
        <w:t xml:space="preserve">visible.</w:t>
      </w:r>
    </w:p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As in v2.2, plus the eight round-3 robustness scripts.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Manuscript prepared for double-blind peer review.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Extended Crystallographic Synthesis (v2.3)</dc:title>
  <dc:creator>[Author names withheld]</dc:creator>
  <cp:keywords/>
  <dcterms:created xsi:type="dcterms:W3CDTF">2026-04-11T20:44:22Z</dcterms:created>
  <dcterms:modified xsi:type="dcterms:W3CDTF">2026-04-11T20:44:22Z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12 + 3 + 6, aligned with CCDR v6.3, after three rounds of public-data testing</vt:lpwstr>
  </property>
</Properties>
</file>