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Розширений</w:t>
      </w:r>
      <w:r>
        <w:t xml:space="preserve"> </w:t>
      </w:r>
      <w:r>
        <w:t xml:space="preserve">кристалографічний</w:t>
      </w:r>
      <w:r>
        <w:t xml:space="preserve"> </w:t>
      </w:r>
      <w:r>
        <w:t xml:space="preserve">синтез</w:t>
      </w:r>
      <w:r>
        <w:t xml:space="preserve"> </w:t>
      </w:r>
      <w:r>
        <w:t xml:space="preserve">(v2.3)</w:t>
      </w:r>
    </w:p>
    <w:p>
      <w:pPr>
        <w:pStyle w:val="Subtitle"/>
      </w:pPr>
      <w:r>
        <w:t xml:space="preserve">12</w:t>
      </w:r>
      <w:r>
        <w:t xml:space="preserve"> </w:t>
      </w:r>
      <w:r>
        <w:t xml:space="preserve">+</w:t>
      </w:r>
      <w:r>
        <w:t xml:space="preserve"> </w:t>
      </w:r>
      <w:r>
        <w:t xml:space="preserve">3</w:t>
      </w:r>
      <w:r>
        <w:t xml:space="preserve"> </w:t>
      </w:r>
      <w:r>
        <w:t xml:space="preserve">+</w:t>
      </w:r>
      <w:r>
        <w:t xml:space="preserve"> </w:t>
      </w:r>
      <w:r>
        <w:t xml:space="preserve">6,</w:t>
      </w:r>
      <w:r>
        <w:t xml:space="preserve"> </w:t>
      </w:r>
      <w:r>
        <w:t xml:space="preserve">узгоджено</w:t>
      </w:r>
      <w:r>
        <w:t xml:space="preserve"> </w:t>
      </w:r>
      <w:r>
        <w:t xml:space="preserve">з</w:t>
      </w:r>
      <w:r>
        <w:t xml:space="preserve"> </w:t>
      </w:r>
      <w:r>
        <w:t xml:space="preserve">CCDR</w:t>
      </w:r>
      <w:r>
        <w:t xml:space="preserve"> </w:t>
      </w:r>
      <w:r>
        <w:t xml:space="preserve">v6.3,</w:t>
      </w:r>
      <w:r>
        <w:t xml:space="preserve"> </w:t>
      </w:r>
      <w:r>
        <w:t xml:space="preserve">після</w:t>
      </w:r>
      <w:r>
        <w:t xml:space="preserve"> </w:t>
      </w:r>
      <w:r>
        <w:t xml:space="preserve">трьох</w:t>
      </w:r>
      <w:r>
        <w:t xml:space="preserve"> </w:t>
      </w:r>
      <w:r>
        <w:t xml:space="preserve">раундів</w:t>
      </w:r>
      <w:r>
        <w:t xml:space="preserve"> </w:t>
      </w:r>
      <w:r>
        <w:t xml:space="preserve">тестування</w:t>
      </w:r>
    </w:p>
    <w:p>
      <w:pPr>
        <w:pStyle w:val="Author"/>
      </w:pPr>
      <w:r>
        <w:t xml:space="preserve">[Імена</w:t>
      </w:r>
      <w:r>
        <w:t xml:space="preserve"> </w:t>
      </w:r>
      <w:r>
        <w:t xml:space="preserve">авторів</w:t>
      </w:r>
      <w:r>
        <w:t xml:space="preserve"> </w:t>
      </w:r>
      <w:r>
        <w:t xml:space="preserve">приховано]</w:t>
      </w:r>
    </w:p>
    <w:p>
      <w:pPr>
        <w:pStyle w:val="Date"/>
      </w:pPr>
      <w:r>
        <w:t xml:space="preserve">Квітень</w:t>
      </w:r>
      <w:r>
        <w:t xml:space="preserve"> </w:t>
      </w:r>
      <w:r>
        <w:t xml:space="preserve">2026</w:t>
      </w:r>
    </w:p>
    <w:bookmarkStart w:id="20" w:name="анотація"/>
    <w:p>
      <w:pPr>
        <w:pStyle w:val="Heading1"/>
      </w:pPr>
      <w:r>
        <w:t xml:space="preserve">Анотація</w:t>
      </w:r>
    </w:p>
    <w:p>
      <w:pPr>
        <w:pStyle w:val="FirstParagraph"/>
      </w:pPr>
      <w:r>
        <w:t xml:space="preserve">Синтез v2.3 включає вісім тестів стійкості раунду 3 в архітектуру v2.2. Архітектура 12 + 3 + 6 збережена. Жоден шар структурно не спростовано. Три числові відступи: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P21 перекласифіковано.</w:t>
      </w:r>
      <w:r>
        <w:t xml:space="preserve"> </w:t>
      </w:r>
      <w:r>
        <w:t xml:space="preserve">Сигнал ν &gt; 0 зосереджений у низько-z Pantheon+ SN (1.89σ повна, 0.66σ при z &gt; 0.5, ~0σ у тільки низько-z BAO), і нестабільний між нюисансами (z_cmb 1.89σ vs z_hel 2.53σ; hostmass_low 2.02σ vs hostmass_high 1.04σ). v2.3 позначає P21 як</w:t>
      </w:r>
      <w:r>
        <w:t xml:space="preserve"> </w:t>
      </w:r>
      <w:r>
        <w:t xml:space="preserve">“</w:t>
      </w:r>
      <w:r>
        <w:t xml:space="preserve">низько-z SN сигнал невідомого походження, ймовірно систематичний Pantheon+, протилежний очікуваній поведінці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P3 (вирівнювання філаментів) позначено як спростований.</w:t>
      </w:r>
      <w:r>
        <w:t xml:space="preserve"> </w:t>
      </w:r>
      <w:r>
        <w:t xml:space="preserve">Дві незалежні реконструкції (kNN PCA, подвійний прозорий шукач) не відновлюють сигнал Tempel; кореляція кривих шукачів 0.234, незалежна шкала підгонки 10¹¹ Mpc/h (вироджена). Результат Tempel тепер ідентифіковано як артефакт реконструкції Bisous.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Виживший одногармонічний w(z) v2.2 відкликано.</w:t>
      </w:r>
      <w:r>
        <w:t xml:space="preserve"> </w:t>
      </w:r>
      <w:r>
        <w:t xml:space="preserve">Тестування когерентності раунду 3 показує, що пік при 10.89 циклів/z у v2.2 змістився до ~1 циклу/z у повній вибірці раунду 3, а підмножини дають дико різні найкращі частоти. Жодного когерентного піка через червоне зміщення або розділення оглядів.</w:t>
      </w:r>
    </w:p>
    <w:p>
      <w:pPr>
        <w:pStyle w:val="FirstParagraph"/>
      </w:pPr>
      <w:r>
        <w:t xml:space="preserve">Єдиним надійним емпіричним якорем залишається локальне відступлення a₀ → Мілгром. Сканування спільної шкали Койде підтверджує, що жодної привілейованої шкали не існує (найменша спільна відстань 0.232). Каскадне тверде ядро залишається структурно непротестованим: аудит готовності раунду 3 знайшов 320 кандидатних публічних ресурсів прямого виявлення, 46 завантажених числових таблиць,</w:t>
      </w:r>
      <w:r>
        <w:t xml:space="preserve"> </w:t>
      </w:r>
      <w:r>
        <w:rPr>
          <w:bCs/>
          <w:b/>
        </w:rPr>
        <w:t xml:space="preserve">жодна не перекриває передбачуване вікно другого піка 500–3000 ГеВ</w:t>
      </w:r>
      <w:r>
        <w:t xml:space="preserve">.</w:t>
      </w:r>
    </w:p>
    <w:bookmarkEnd w:id="20"/>
    <w:bookmarkStart w:id="21" w:name="оновлений-статус-прогнозів"/>
    <w:p>
      <w:pPr>
        <w:pStyle w:val="Heading1"/>
      </w:pPr>
      <w:r>
        <w:t xml:space="preserve">1. Оновлений статус прогнозів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 (ν як TGFT-RG IR ф.т.)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 ≈ 0.025, 1.9σ, SN-керовано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Низько-z SN, зникає при високому z, ймовірний систематичний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P22, P23, P26, P27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P24 (DA/O N ≤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Сумісно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Сумісно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P25 (підрахунок піків ТМ)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Недостатня досяжність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Структурний розрив підтверджено (320 рес., 0 у вікні)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P28 (μ/y КМВ)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FIRAS-сумісно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 саме</w:t>
            </w:r>
          </w:p>
        </w:tc>
      </w:tr>
    </w:tbl>
    <w:p>
      <w:pPr>
        <w:pStyle w:val="BodyText"/>
      </w:pPr>
      <w:r>
        <w:t xml:space="preserve">Успадковані v5 прогнози: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філаменти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Застережено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Спростовано незалежною реплікацією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 KSS QGP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Майже-насичено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Майже-насичено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P7-розш. w(z)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Відкликано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Відкликано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Одногарм. w(z) (виживший v2.2)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~2.4σ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Відкликано; немає когерентності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P9a, P9c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Видалено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Видалено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P9d R_K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може спрацювати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може спрацювати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§6.1 локальне a₀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Надійно підтверджено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Підтверджено (без нових доказів у раунді 3)</w:t>
            </w:r>
          </w:p>
        </w:tc>
      </w:tr>
    </w:tbl>
    <w:bookmarkEnd w:id="21"/>
    <w:bookmarkStart w:id="22" w:name="вплив-на-12-структур"/>
    <w:p>
      <w:pPr>
        <w:pStyle w:val="Heading1"/>
      </w:pPr>
      <w:r>
        <w:t xml:space="preserve">2. Вплив на 12 структур</w:t>
      </w:r>
    </w:p>
    <w:p>
      <w:pPr>
        <w:pStyle w:val="FirstParagraph"/>
      </w:pPr>
      <w:r>
        <w:rPr>
          <w:bCs/>
          <w:b/>
        </w:rPr>
        <w:t xml:space="preserve">RVM (1.4)</w:t>
      </w:r>
      <w:r>
        <w:t xml:space="preserve"> </w:t>
      </w:r>
      <w:r>
        <w:t xml:space="preserve">— емпіричне центральне значення ν залишається ~0.025, але томографія раунду 3 показує, що це не космологічний сигнал в очікуваному сенсі: він живе у неправильному z-інтервалі і нестабільний під SN нюисансами. v2.3 записує P21 як</w:t>
      </w:r>
      <w:r>
        <w:t xml:space="preserve"> </w:t>
      </w:r>
      <w:r>
        <w:t xml:space="preserve">“</w:t>
      </w:r>
      <w:r>
        <w:t xml:space="preserve">слабкий сигнал неясного фізичного походження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TGFT-RG (1.9), Шляхи 1 і 6</w:t>
      </w:r>
      <w:r>
        <w:t xml:space="preserve"> </w:t>
      </w:r>
      <w:r>
        <w:t xml:space="preserve">— розблоковано в v2.2; v2.3 залишає їх розблокованими, але зазначає, що з переінтерпретацією раунду 3 сигналу ν як ймовірно систематичного, терміновість їх запуску знижена.</w:t>
      </w:r>
    </w:p>
    <w:p>
      <w:pPr>
        <w:pStyle w:val="BodyText"/>
      </w:pPr>
      <w:r>
        <w:rPr>
          <w:bCs/>
          <w:b/>
        </w:rPr>
        <w:t xml:space="preserve">SSM (1.3) і читання Койде (CCDR §6.3)</w:t>
      </w:r>
      <w:r>
        <w:t xml:space="preserve"> </w:t>
      </w:r>
      <w:r>
        <w:t xml:space="preserve">— раунд 3 підтверджує, що жодної спільної привілейованої шкали не існує. v2.3 підвищує</w:t>
      </w:r>
      <w:r>
        <w:t xml:space="preserve"> </w:t>
      </w:r>
      <w:r>
        <w:t xml:space="preserve">“</w:t>
      </w:r>
      <w:r>
        <w:t xml:space="preserve">структурне застереження</w:t>
      </w:r>
      <w:r>
        <w:t xml:space="preserve">”</w:t>
      </w:r>
      <w:r>
        <w:t xml:space="preserve"> </w:t>
      </w:r>
      <w:r>
        <w:t xml:space="preserve">v2.2 до</w:t>
      </w:r>
      <w:r>
        <w:t xml:space="preserve"> </w:t>
      </w:r>
      <w:r>
        <w:rPr>
          <w:bCs/>
          <w:b/>
        </w:rPr>
        <w:t xml:space="preserve">структурного зобов’язання</w:t>
      </w:r>
      <w:r>
        <w:t xml:space="preserve">: фреймворк тепер формально потребує секторо-залежних масштабів кристалізації, і винен виведення з перших принципів. Це найконкретніше теоретичне завдання для v3.</w:t>
      </w:r>
    </w:p>
    <w:p>
      <w:pPr>
        <w:pStyle w:val="BodyText"/>
      </w:pPr>
      <w:r>
        <w:rPr>
          <w:bCs/>
          <w:b/>
        </w:rPr>
        <w:t xml:space="preserve">Інші структури</w:t>
      </w:r>
      <w:r>
        <w:t xml:space="preserve"> </w:t>
      </w:r>
      <w:r>
        <w:t xml:space="preserve">— ролі без змін від v2.2.</w:t>
      </w:r>
    </w:p>
    <w:bookmarkEnd w:id="22"/>
    <w:bookmarkStart w:id="23" w:name="три-гілки-і-шість-шляхів-розвязання"/>
    <w:p>
      <w:pPr>
        <w:pStyle w:val="Heading1"/>
      </w:pPr>
      <w:r>
        <w:t xml:space="preserve">3. Три гілки і шість шляхів розв’язання</w:t>
      </w:r>
    </w:p>
    <w:p>
      <w:pPr>
        <w:pStyle w:val="FirstParagraph"/>
      </w:pPr>
      <w:r>
        <w:t xml:space="preserve">Архітектура гілок незмінна. EG ↔ CDT+TN залишається найзахищенішим резервом, оскільки локальне відступлення a₀ — це єдиний міцний емпіричний якір синтезу. Шість шляхів розв’язання структурно незмінні; терміновість Шляхів 1 і 6 знижена через переінтерпретацію ν.</w:t>
      </w:r>
    </w:p>
    <w:bookmarkEnd w:id="23"/>
    <w:bookmarkStart w:id="24" w:name="шарова-спростовність-оновлення-раунду-3"/>
    <w:p>
      <w:pPr>
        <w:pStyle w:val="Heading1"/>
      </w:pPr>
      <w:r>
        <w:t xml:space="preserve">4. Шарова спростовність — оновлення раунду 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(CDT + каскадне ядро)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 (розрив структурно підтверджено)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(GFT + TGFT-RG)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 ν закрито; слабка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ν переінтерпретовано як низько-z SN систематичний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(TN + HaPPY)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(SSM + AS + DA/O)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Сумісно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Сумісно з новим зобов’язанням про секторо-залежні шкали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(RVM + CCDR)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Змішано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a₀ підтверджено; P3 спростовано; P7-розш. і одногарм. відкликано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(баріогенез)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</w:tr>
    </w:tbl>
    <w:p>
      <w:pPr>
        <w:pStyle w:val="BodyText"/>
      </w:pPr>
      <w:r>
        <w:rPr>
          <w:bCs/>
          <w:b/>
        </w:rPr>
        <w:t xml:space="preserve">Жоден шар не дестабілізовано раундом 3</w:t>
      </w:r>
      <w:r>
        <w:t xml:space="preserve">, але емпірична підтримка Шару 4 тепер є лише результатом локального a₀.</w:t>
      </w:r>
    </w:p>
    <w:bookmarkEnd w:id="24"/>
    <w:bookmarkStart w:id="25" w:name="висновок"/>
    <w:p>
      <w:pPr>
        <w:pStyle w:val="Heading1"/>
      </w:pPr>
      <w:r>
        <w:t xml:space="preserve">5. Висновок</w:t>
      </w:r>
    </w:p>
    <w:p>
      <w:pPr>
        <w:pStyle w:val="FirstParagraph"/>
      </w:pPr>
      <w:r>
        <w:t xml:space="preserve">Після трьох раундів тестування на публічних даних архітектура синтезу неушкоджена, але її емпірична позиція обережніша, ніж у будь-якій попередній версії. Єдине надійне підтвердження через всі три раунди — це локальне відступлення a₀ → Мілгром —</w:t>
      </w:r>
      <w:r>
        <w:t xml:space="preserve"> </w:t>
      </w:r>
      <w:r>
        <w:rPr>
          <w:iCs/>
          <w:i/>
        </w:rPr>
        <w:t xml:space="preserve">відступлення</w:t>
      </w:r>
      <w:r>
        <w:t xml:space="preserve"> </w:t>
      </w:r>
      <w:r>
        <w:t xml:space="preserve">від v5, а не позитивний прогноз. Єдиний навідний сигнал (ν &gt; 0 з низько-z SN) живе у неправильному z-інтервалі і нестабільний.</w:t>
      </w:r>
    </w:p>
    <w:p>
      <w:pPr>
        <w:pStyle w:val="BodyText"/>
      </w:pPr>
      <w:r>
        <w:rPr>
          <w:bCs/>
          <w:b/>
        </w:rPr>
        <w:t xml:space="preserve">Рекомендація v2.3:</w:t>
      </w:r>
      <w:r>
        <w:t xml:space="preserve"> </w:t>
      </w:r>
      <w:r>
        <w:t xml:space="preserve">жодних подальших підтверджуючих тверджень не повинно бути зроблено лише на публічних даних. Раунд 4 має зосередитися на (1) перевиведенні ν з DESI DR3, (2) очікуванні тонно-масштабного прямого виявлення, (3) виконанні Бара-Штайнгауса як</w:t>
      </w:r>
      <w:r>
        <w:t xml:space="preserve"> </w:t>
      </w:r>
      <w:r>
        <w:rPr>
          <w:iCs/>
          <w:i/>
        </w:rPr>
        <w:t xml:space="preserve">теоретичної</w:t>
      </w:r>
      <w:r>
        <w:t xml:space="preserve"> </w:t>
      </w:r>
      <w:r>
        <w:t xml:space="preserve">вправи без емпіричного якоря, і (4) наданні виведення секторо-залежних шкал.</w:t>
      </w:r>
      <w:r>
        <w:t xml:space="preserve"> </w:t>
      </w:r>
      <w:r>
        <w:rPr>
          <w:bCs/>
          <w:b/>
        </w:rPr>
        <w:t xml:space="preserve">Незалежна реплікація більше не є необов’язковою.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Рукопис підготовлено для подвійного сліпого рецензування.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531">
    <w:nsid w:val="A99531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Розширений кристалографічний синтез (v2.3)</dc:title>
  <dc:creator>[Імена авторів приховано]</dc:creator>
  <dc:language>uk</dc:language>
  <cp:keywords/>
  <dcterms:created xsi:type="dcterms:W3CDTF">2026-04-11T20:44:22Z</dcterms:created>
  <dcterms:modified xsi:type="dcterms:W3CDTF">2026-04-11T20:44:22Z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Квітень 2026</vt:lpwstr>
  </property>
  <property fmtid="{D5CDD505-2E9C-101B-9397-08002B2CF9AE}" pid="3" name="subtitle">
    <vt:lpwstr>12 + 3 + 6, узгоджено з CCDR v6.3, після трьох раундів тестування</vt:lpwstr>
  </property>
</Properties>
</file>