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Extended</w:t>
      </w:r>
      <w:r>
        <w:t xml:space="preserve"> </w:t>
      </w:r>
      <w:r>
        <w:t xml:space="preserve">Crystallographic</w:t>
      </w:r>
      <w:r>
        <w:t xml:space="preserve"> </w:t>
      </w:r>
      <w:r>
        <w:t xml:space="preserve">Synthesis</w:t>
      </w:r>
      <w:r>
        <w:t xml:space="preserve"> </w:t>
      </w:r>
      <w:r>
        <w:t xml:space="preserve">(v3)</w:t>
      </w:r>
    </w:p>
    <w:p>
      <w:pPr>
        <w:pStyle w:val="Subtitle"/>
      </w:pPr>
      <w:r>
        <w:t xml:space="preserve">12</w:t>
      </w:r>
      <w:r>
        <w:t xml:space="preserve"> </w:t>
      </w:r>
      <w:r>
        <w:t xml:space="preserve">+</w:t>
      </w:r>
      <w:r>
        <w:t xml:space="preserve"> </w:t>
      </w:r>
      <w:r>
        <w:t xml:space="preserve">3</w:t>
      </w:r>
      <w:r>
        <w:t xml:space="preserve"> </w:t>
      </w:r>
      <w:r>
        <w:t xml:space="preserve">+</w:t>
      </w:r>
      <w:r>
        <w:t xml:space="preserve"> </w:t>
      </w:r>
      <w:r>
        <w:t xml:space="preserve">6,</w:t>
      </w:r>
      <w:r>
        <w:t xml:space="preserve"> </w:t>
      </w:r>
      <w:r>
        <w:t xml:space="preserve">aligned</w:t>
      </w:r>
      <w:r>
        <w:t xml:space="preserve"> </w:t>
      </w:r>
      <w:r>
        <w:t xml:space="preserve">with</w:t>
      </w:r>
      <w:r>
        <w:t xml:space="preserve"> </w:t>
      </w:r>
      <w:r>
        <w:t xml:space="preserve">CCDR</w:t>
      </w:r>
      <w:r>
        <w:t xml:space="preserve"> </w:t>
      </w:r>
      <w:r>
        <w:t xml:space="preserve">v7</w:t>
      </w:r>
      <w:r>
        <w:t xml:space="preserve"> </w:t>
      </w:r>
      <w:r>
        <w:t xml:space="preserve">—</w:t>
      </w:r>
      <w:r>
        <w:t xml:space="preserve"> </w:t>
      </w:r>
      <w:r>
        <w:t xml:space="preserve">Local</w:t>
      </w:r>
      <w:r>
        <w:t xml:space="preserve"> </w:t>
      </w:r>
      <w:r>
        <w:t xml:space="preserve">Ongoing</w:t>
      </w:r>
      <w:r>
        <w:t xml:space="preserve"> </w:t>
      </w:r>
      <w:r>
        <w:t xml:space="preserve">Cascade</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Synthesis v3 aligns the 12 + 3 + 6 architecture with CCDR v7’s structural revision: dimensional reductions are local, asynchronous, and potentially ongoing. Three framework roles are updated; three new predictions are added; the empirical scorecard from three rounds is inherited unchanged.</w:t>
      </w:r>
    </w:p>
    <w:bookmarkEnd w:id="20"/>
    <w:bookmarkStart w:id="21" w:name="updated-framework-roles"/>
    <w:p>
      <w:pPr>
        <w:pStyle w:val="Heading1"/>
      </w:pPr>
      <w:r>
        <w:t xml:space="preserve">1. Updated Framework Roles</w:t>
      </w:r>
    </w:p>
    <w:p>
      <w:pPr>
        <w:pStyle w:val="FirstParagraph"/>
      </w:pPr>
      <w:r>
        <w:rPr>
          <w:bCs/>
          <w:b/>
        </w:rPr>
        <w:t xml:space="preserve">RVM (1.4)</w:t>
      </w:r>
      <w:r>
        <w:t xml:space="preserve"> </w:t>
      </w:r>
      <w:r>
        <w:t xml:space="preserve">— the vacuum cooling curve ρ_vac(H) now governs not just the cascade timing but the</w:t>
      </w:r>
      <w:r>
        <w:t xml:space="preserve"> </w:t>
      </w:r>
      <w:r>
        <w:rPr>
          <w:iCs/>
          <w:i/>
        </w:rPr>
        <w:t xml:space="preserve">current rate</w:t>
      </w:r>
      <w:r>
        <w:t xml:space="preserve"> </w:t>
      </w:r>
      <w:r>
        <w:t xml:space="preserve">of any ongoing reduction. The stage-dependent ν(k) determines dR_k/dt for ongoing stages. The empirical ν ~ 0.01–0.03 (low-z SN-driven, plausibly systematic) becomes the</w:t>
      </w:r>
      <w:r>
        <w:t xml:space="preserve"> </w:t>
      </w:r>
      <w:r>
        <w:rPr>
          <w:iCs/>
          <w:i/>
        </w:rPr>
        <w:t xml:space="preserve">upper bound</w:t>
      </w:r>
      <w:r>
        <w:t xml:space="preserve"> </w:t>
      </w:r>
      <w:r>
        <w:t xml:space="preserve">on ongoing-reduction rates rather than a confirmed cosmological running-vacuum coefficient.</w:t>
      </w:r>
    </w:p>
    <w:p>
      <w:pPr>
        <w:pStyle w:val="BodyText"/>
      </w:pPr>
      <w:r>
        <w:rPr>
          <w:bCs/>
          <w:b/>
        </w:rPr>
        <w:t xml:space="preserve">CDT (1.6)</w:t>
      </w:r>
      <w:r>
        <w:t xml:space="preserve"> </w:t>
      </w:r>
      <w:r>
        <w:t xml:space="preserve">— the simplicial path integral now must accommodate</w:t>
      </w:r>
      <w:r>
        <w:t xml:space="preserve"> </w:t>
      </w:r>
      <w:r>
        <w:rPr>
          <w:iCs/>
          <w:i/>
        </w:rPr>
        <w:t xml:space="preserve">mixed-dimensionality</w:t>
      </w:r>
      <w:r>
        <w:t xml:space="preserve"> </w:t>
      </w:r>
      <w:r>
        <w:t xml:space="preserve">configurations: regions where some directions are fully compactified coexisting with regions where others are still extended. CDT simulations with spatially varying topology are the natural implementation.</w:t>
      </w:r>
    </w:p>
    <w:p>
      <w:pPr>
        <w:pStyle w:val="BodyText"/>
      </w:pPr>
      <w:r>
        <w:rPr>
          <w:bCs/>
          <w:b/>
        </w:rPr>
        <w:t xml:space="preserve">AQN (1.5)</w:t>
      </w:r>
      <w:r>
        <w:t xml:space="preserve"> </w:t>
      </w:r>
      <w:r>
        <w:t xml:space="preserve">— anti-quark nuggets as crystal defects now have a richer interpretation: defects formed during</w:t>
      </w:r>
      <w:r>
        <w:t xml:space="preserve"> </w:t>
      </w:r>
      <w:r>
        <w:rPr>
          <w:iCs/>
          <w:i/>
        </w:rPr>
        <w:t xml:space="preserve">completed</w:t>
      </w:r>
      <w:r>
        <w:t xml:space="preserve"> </w:t>
      </w:r>
      <w:r>
        <w:t xml:space="preserve">reductions are distinct from defects forming in</w:t>
      </w:r>
      <w:r>
        <w:t xml:space="preserve"> </w:t>
      </w:r>
      <w:r>
        <w:rPr>
          <w:iCs/>
          <w:i/>
        </w:rPr>
        <w:t xml:space="preserve">ongoing</w:t>
      </w:r>
      <w:r>
        <w:t xml:space="preserve"> </w:t>
      </w:r>
      <w:r>
        <w:t xml:space="preserve">reductions. The latter have time-dependent properties, potentially explaining the non-detection of AQN signatures: if the relevant reduction is ongoing, the nuggets are still forming and may not yet have reached the characteristic mass scale.</w:t>
      </w:r>
    </w:p>
    <w:p>
      <w:pPr>
        <w:pStyle w:val="BodyText"/>
      </w:pPr>
      <w:r>
        <w:t xml:space="preserve">All other framework roles (LGT, AS, SSM, TN, GFT+EPRL, TGFT-RG, DA/O, HaPPY, CCDR) are unchanged from v2.3, with the proviso that any quantity that assumed a single cascade-completion epoch must now carry the local-ongoing generalisation.</w:t>
      </w:r>
    </w:p>
    <w:bookmarkEnd w:id="21"/>
    <w:bookmarkStart w:id="22" w:name="updated-predictions"/>
    <w:p>
      <w:pPr>
        <w:pStyle w:val="Heading1"/>
      </w:pPr>
      <w:r>
        <w:t xml:space="preserve">2. Updated Predictions</w:t>
      </w:r>
    </w:p>
    <w:p>
      <w:pPr>
        <w:pStyle w:val="FirstParagraph"/>
      </w:pPr>
      <w:r>
        <w:t xml:space="preserve">P21–P28 from v2.3 are unchanged in status. Three new predictions from CCDR v7:</w:t>
      </w:r>
    </w:p>
    <w:p>
      <w:pPr>
        <w:pStyle w:val="BodyText"/>
      </w:pPr>
      <w:r>
        <w:rPr>
          <w:bCs/>
          <w:b/>
        </w:rPr>
        <w:t xml:space="preserve">P29 — Time-varying DM abundance.</w:t>
      </w:r>
      <w:r>
        <w:t xml:space="preserve"> </w:t>
      </w:r>
      <w:r>
        <w:t xml:space="preserve">If any cascade stage is ongoing, Ω_DM(t) grows at rate ~ν H₀ Ω_ongoing. Cumulative growth since onset ~10⁻³ Ω_ongoing. Testable with precision multi-redshift surveys (DESI, Euclid, Roman).</w:t>
      </w:r>
    </w:p>
    <w:p>
      <w:pPr>
        <w:pStyle w:val="BodyText"/>
      </w:pPr>
      <w:r>
        <w:rPr>
          <w:bCs/>
          <w:b/>
        </w:rPr>
        <w:t xml:space="preserve">P30 — Density-correlated spatial variation in Ω_DM/Ω_B.</w:t>
      </w:r>
      <w:r>
        <w:t xml:space="preserve"> </w:t>
      </w:r>
      <w:r>
        <w:t xml:space="preserve">If reduction onset is local, Ω_DM/Ω_B correlates positively with local density at amplitude ~ν² ~ 10⁻⁴. Testable via CMB lensing × galaxy survey cross-correlation.</w:t>
      </w:r>
    </w:p>
    <w:p>
      <w:pPr>
        <w:pStyle w:val="BodyText"/>
      </w:pPr>
      <w:r>
        <w:rPr>
          <w:bCs/>
          <w:b/>
        </w:rPr>
        <w:t xml:space="preserve">P31 — Drifting DM mass peak.</w:t>
      </w:r>
      <w:r>
        <w:t xml:space="preserve"> </w:t>
      </w:r>
      <w:r>
        <w:t xml:space="preserve">If any reduction is ongoing, the corresponding mass peak drifts at dm/m ~ ν H₀ per unit time. Testable with 10-year direct-detection campaigns or z = 0 vs z &gt; 0.5 mass comparison.</w:t>
      </w:r>
    </w:p>
    <w:bookmarkEnd w:id="22"/>
    <w:bookmarkStart w:id="23" w:name="updated-layered-falsifiability"/>
    <w:p>
      <w:pPr>
        <w:pStyle w:val="Heading1"/>
      </w:pPr>
      <w:r>
        <w:t xml:space="preserve">3. Updated Layered Falsifiability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v2.3</w:t>
            </w:r>
          </w:p>
        </w:tc>
        <w:tc>
          <w:tcPr/>
          <w:p>
            <w:pPr>
              <w:pStyle w:val="Compact"/>
              <w:jc w:val="left"/>
            </w:pPr>
            <w:r>
              <w:t xml:space="preserve">v3</w:t>
            </w:r>
          </w:p>
        </w:tc>
      </w:tr>
      <w:tr>
        <w:tc>
          <w:tcPr/>
          <w:p>
            <w:pPr>
              <w:pStyle w:val="Compact"/>
              <w:jc w:val="left"/>
            </w:pPr>
            <w:r>
              <w:t xml:space="preserve">0 (CDT + cascade core)</w:t>
            </w:r>
          </w:p>
        </w:tc>
        <w:tc>
          <w:tcPr/>
          <w:p>
            <w:pPr>
              <w:pStyle w:val="Compact"/>
              <w:jc w:val="left"/>
            </w:pPr>
            <w:r>
              <w:t xml:space="preserve">Untested</w:t>
            </w:r>
          </w:p>
        </w:tc>
        <w:tc>
          <w:tcPr/>
          <w:p>
            <w:pPr>
              <w:pStyle w:val="Compact"/>
              <w:jc w:val="left"/>
            </w:pPr>
            <w:r>
              <w:t xml:space="preserve">Untested (now includes mixed-dimensionality configurations)</w:t>
            </w:r>
          </w:p>
        </w:tc>
      </w:tr>
      <w:tr>
        <w:tc>
          <w:tcPr/>
          <w:p>
            <w:pPr>
              <w:pStyle w:val="Compact"/>
              <w:jc w:val="left"/>
            </w:pPr>
            <w:r>
              <w:t xml:space="preserve">1 (GFT + TGFT-RG)</w:t>
            </w:r>
          </w:p>
        </w:tc>
        <w:tc>
          <w:tcPr/>
          <w:p>
            <w:pPr>
              <w:pStyle w:val="Compact"/>
              <w:jc w:val="left"/>
            </w:pPr>
            <w:r>
              <w:t xml:space="preserve">ν reinterpreted as low-z SN systematic</w:t>
            </w:r>
          </w:p>
        </w:tc>
        <w:tc>
          <w:tcPr/>
          <w:p>
            <w:pPr>
              <w:pStyle w:val="Compact"/>
              <w:jc w:val="left"/>
            </w:pPr>
            <w:r>
              <w:t xml:space="preserve">Same; ν now also bounds ongoing-reduction rates</w:t>
            </w:r>
          </w:p>
        </w:tc>
      </w:tr>
      <w:tr>
        <w:tc>
          <w:tcPr/>
          <w:p>
            <w:pPr>
              <w:pStyle w:val="Compact"/>
              <w:jc w:val="left"/>
            </w:pPr>
            <w:r>
              <w:t xml:space="preserve">2 (TN + HaPPY)</w:t>
            </w:r>
          </w:p>
        </w:tc>
        <w:tc>
          <w:tcPr/>
          <w:p>
            <w:pPr>
              <w:pStyle w:val="Compact"/>
              <w:jc w:val="left"/>
            </w:pPr>
            <w:r>
              <w:t xml:space="preserve">Untested</w:t>
            </w:r>
          </w:p>
        </w:tc>
        <w:tc>
          <w:tcPr/>
          <w:p>
            <w:pPr>
              <w:pStyle w:val="Compact"/>
              <w:jc w:val="left"/>
            </w:pPr>
            <w:r>
              <w:t xml:space="preserve">Untested</w:t>
            </w:r>
          </w:p>
        </w:tc>
      </w:tr>
      <w:tr>
        <w:tc>
          <w:tcPr/>
          <w:p>
            <w:pPr>
              <w:pStyle w:val="Compact"/>
              <w:jc w:val="left"/>
            </w:pPr>
            <w:r>
              <w:t xml:space="preserve">3 (SSM + AS + DA/O)</w:t>
            </w:r>
          </w:p>
        </w:tc>
        <w:tc>
          <w:tcPr/>
          <w:p>
            <w:pPr>
              <w:pStyle w:val="Compact"/>
              <w:jc w:val="left"/>
            </w:pPr>
            <w:r>
              <w:t xml:space="preserve">Consistent + Koide commitment</w:t>
            </w:r>
          </w:p>
        </w:tc>
        <w:tc>
          <w:tcPr/>
          <w:p>
            <w:pPr>
              <w:pStyle w:val="Compact"/>
              <w:jc w:val="left"/>
            </w:pPr>
            <w:r>
              <w:t xml:space="preserve">Same</w:t>
            </w:r>
          </w:p>
        </w:tc>
      </w:tr>
      <w:tr>
        <w:tc>
          <w:tcPr/>
          <w:p>
            <w:pPr>
              <w:pStyle w:val="Compact"/>
              <w:jc w:val="left"/>
            </w:pPr>
            <w:r>
              <w:t xml:space="preserve">4 (RVM + CCDR)</w:t>
            </w:r>
          </w:p>
        </w:tc>
        <w:tc>
          <w:tcPr/>
          <w:p>
            <w:pPr>
              <w:pStyle w:val="Compact"/>
              <w:jc w:val="left"/>
            </w:pPr>
            <w:r>
              <w:t xml:space="preserve">a₀ confirmed only</w:t>
            </w:r>
          </w:p>
        </w:tc>
        <w:tc>
          <w:tcPr/>
          <w:p>
            <w:pPr>
              <w:pStyle w:val="Compact"/>
              <w:jc w:val="left"/>
            </w:pPr>
            <w:r>
              <w:t xml:space="preserve">Same + three new untested predictions P29–P31</w:t>
            </w:r>
          </w:p>
        </w:tc>
      </w:tr>
      <w:tr>
        <w:tc>
          <w:tcPr/>
          <w:p>
            <w:pPr>
              <w:pStyle w:val="Compact"/>
              <w:jc w:val="left"/>
            </w:pPr>
            <w:r>
              <w:t xml:space="preserve">5 (baryogenesis)</w:t>
            </w:r>
          </w:p>
        </w:tc>
        <w:tc>
          <w:tcPr/>
          <w:p>
            <w:pPr>
              <w:pStyle w:val="Compact"/>
              <w:jc w:val="left"/>
            </w:pPr>
            <w:r>
              <w:t xml:space="preserve">Untested</w:t>
            </w:r>
          </w:p>
        </w:tc>
        <w:tc>
          <w:tcPr/>
          <w:p>
            <w:pPr>
              <w:pStyle w:val="Compact"/>
              <w:jc w:val="left"/>
            </w:pPr>
            <w:r>
              <w:t xml:space="preserve">Untested</w:t>
            </w:r>
          </w:p>
        </w:tc>
      </w:tr>
    </w:tbl>
    <w:p>
      <w:pPr>
        <w:pStyle w:val="BodyText"/>
      </w:pPr>
      <w:r>
        <w:rPr>
          <w:bCs/>
          <w:b/>
        </w:rPr>
        <w:t xml:space="preserve">New Layer-0 exit condition:</w:t>
      </w:r>
      <w:r>
        <w:t xml:space="preserve"> </w:t>
      </w:r>
      <w:r>
        <w:t xml:space="preserve">if precision surveys detect</w:t>
      </w:r>
      <w:r>
        <w:t xml:space="preserve"> </w:t>
      </w:r>
      <w:r>
        <w:rPr>
          <w:iCs/>
          <w:i/>
        </w:rPr>
        <w:t xml:space="preserve">exact</w:t>
      </w:r>
      <w:r>
        <w:t xml:space="preserve"> </w:t>
      </w:r>
      <w:r>
        <w:t xml:space="preserve">constancy of Ω_DM across redshift to better than 10⁻⁴</w:t>
      </w:r>
      <w:r>
        <w:t xml:space="preserve"> </w:t>
      </w:r>
      <w:r>
        <w:rPr>
          <w:iCs/>
          <w:i/>
        </w:rPr>
        <w:t xml:space="preserve">and</w:t>
      </w:r>
      <w:r>
        <w:t xml:space="preserve"> </w:t>
      </w:r>
      <w:r>
        <w:t xml:space="preserve">no density-correlated spatial variation at 10⁻⁵,</w:t>
      </w:r>
      <w:r>
        <w:t xml:space="preserve"> </w:t>
      </w:r>
      <w:r>
        <w:rPr>
          <w:iCs/>
          <w:i/>
        </w:rPr>
        <w:t xml:space="preserve">and</w:t>
      </w:r>
      <w:r>
        <w:t xml:space="preserve"> </w:t>
      </w:r>
      <w:r>
        <w:t xml:space="preserve">no mass-peak drift over a 10-year baseline, then the</w:t>
      </w:r>
      <w:r>
        <w:t xml:space="preserve"> </w:t>
      </w:r>
      <w:r>
        <w:t xml:space="preserve">“</w:t>
      </w:r>
      <w:r>
        <w:t xml:space="preserve">ongoing reduction</w:t>
      </w:r>
      <w:r>
        <w:t xml:space="preserve">”</w:t>
      </w:r>
      <w:r>
        <w:t xml:space="preserve"> </w:t>
      </w:r>
      <w:r>
        <w:t xml:space="preserve">extension of v7 is falsified and the framework reverts to the v6</w:t>
      </w:r>
      <w:r>
        <w:t xml:space="preserve"> </w:t>
      </w:r>
      <w:r>
        <w:t xml:space="preserve">“</w:t>
      </w:r>
      <w:r>
        <w:t xml:space="preserve">all reductions completed</w:t>
      </w:r>
      <w:r>
        <w:t xml:space="preserve">”</w:t>
      </w:r>
      <w:r>
        <w:t xml:space="preserve"> </w:t>
      </w:r>
      <w:r>
        <w:t xml:space="preserve">picture. The cascade hard core (peak counting for N) survives either way.</w:t>
      </w:r>
    </w:p>
    <w:bookmarkEnd w:id="23"/>
    <w:bookmarkStart w:id="24" w:name="the-three-branches"/>
    <w:p>
      <w:pPr>
        <w:pStyle w:val="Heading1"/>
      </w:pPr>
      <w:r>
        <w:t xml:space="preserve">4. The Three Branches</w:t>
      </w:r>
    </w:p>
    <w:p>
      <w:pPr>
        <w:pStyle w:val="FirstParagraph"/>
      </w:pPr>
      <w:r>
        <w:t xml:space="preserve">Branch architecture unchanged. The local-ongoing extension strengthens the CST ↔ CDT branch: causal sets naturally accommodate locally varying dimensionality through poset density variation, making them a particularly natural fallback if CDT mixed-dimensionality simulations prove intractable.</w:t>
      </w:r>
    </w:p>
    <w:bookmarkEnd w:id="24"/>
    <w:bookmarkStart w:id="25" w:name="the-six-resolution-paths"/>
    <w:p>
      <w:pPr>
        <w:pStyle w:val="Heading1"/>
      </w:pPr>
      <w:r>
        <w:t xml:space="preserve">5. The Six Resolution Paths</w:t>
      </w:r>
    </w:p>
    <w:p>
      <w:pPr>
        <w:pStyle w:val="FirstParagraph"/>
      </w:pPr>
      <w:r>
        <w:t xml:space="preserve">Unchanged from v2.3 in structure. Paths 1 (Swampland → cascade timing) and 6 (Bahr–Steinhaus stage by stage) now must incorporate the possibility that some stages are incomplete, which changes the RG flow boundary conditions. Path 4 (strong CP via overlap Dirac on CDT) acquires a subtlety: if the local dimensionality varies, the Dirac operator must be defined on a mixed-dimensional simplicial complex.</w:t>
      </w:r>
    </w:p>
    <w:bookmarkEnd w:id="25"/>
    <w:bookmarkStart w:id="26" w:name="inherited-empirical-scorecard"/>
    <w:p>
      <w:pPr>
        <w:pStyle w:val="Heading1"/>
      </w:pPr>
      <w:r>
        <w:t xml:space="preserve">6. Inherited Empirical Scorecard</w:t>
      </w:r>
    </w:p>
    <w:p>
      <w:pPr>
        <w:pStyle w:val="FirstParagraph"/>
      </w:pPr>
      <w:r>
        <w:t xml:space="preserve">Unchanged from v2.3:</w:t>
      </w:r>
    </w:p>
    <w:p>
      <w:pPr>
        <w:numPr>
          <w:ilvl w:val="0"/>
          <w:numId w:val="1001"/>
        </w:numPr>
        <w:pStyle w:val="Compact"/>
      </w:pPr>
      <w:r>
        <w:rPr>
          <w:bCs/>
          <w:b/>
        </w:rPr>
        <w:t xml:space="preserve">Confirmed:</w:t>
      </w:r>
      <w:r>
        <w:t xml:space="preserve"> </w:t>
      </w:r>
      <w:r>
        <w:t xml:space="preserve">Local a₀ → Milgrom (single robust anchor).</w:t>
      </w:r>
    </w:p>
    <w:p>
      <w:pPr>
        <w:numPr>
          <w:ilvl w:val="0"/>
          <w:numId w:val="1001"/>
        </w:numPr>
        <w:pStyle w:val="Compact"/>
      </w:pPr>
      <w:r>
        <w:rPr>
          <w:bCs/>
          <w:b/>
        </w:rPr>
        <w:t xml:space="preserve">Plausible systematic:</w:t>
      </w:r>
      <w:r>
        <w:t xml:space="preserve"> </w:t>
      </w:r>
      <w:r>
        <w:t xml:space="preserve">ν &gt; 0 at 1.9σ, low-z SN-driven, wrong redshift behaviour.</w:t>
      </w:r>
    </w:p>
    <w:p>
      <w:pPr>
        <w:numPr>
          <w:ilvl w:val="0"/>
          <w:numId w:val="1001"/>
        </w:numPr>
        <w:pStyle w:val="Compact"/>
      </w:pPr>
      <w:r>
        <w:rPr>
          <w:bCs/>
          <w:b/>
        </w:rPr>
        <w:t xml:space="preserve">Falsified/removed:</w:t>
      </w:r>
      <w:r>
        <w:t xml:space="preserve"> </w:t>
      </w:r>
      <w:r>
        <w:t xml:space="preserve">P3, P7-ext, single-peak w(z), P9a, P9c.</w:t>
      </w:r>
    </w:p>
    <w:p>
      <w:pPr>
        <w:numPr>
          <w:ilvl w:val="0"/>
          <w:numId w:val="1001"/>
        </w:numPr>
        <w:pStyle w:val="Compact"/>
      </w:pPr>
      <w:r>
        <w:rPr>
          <w:bCs/>
          <w:b/>
        </w:rPr>
        <w:t xml:space="preserve">Structural commitment:</w:t>
      </w:r>
      <w:r>
        <w:t xml:space="preserve"> </w:t>
      </w:r>
      <w:r>
        <w:t xml:space="preserve">Koide sector-dependent scales.</w:t>
      </w:r>
    </w:p>
    <w:p>
      <w:pPr>
        <w:numPr>
          <w:ilvl w:val="0"/>
          <w:numId w:val="1001"/>
        </w:numPr>
        <w:pStyle w:val="Compact"/>
      </w:pPr>
      <w:r>
        <w:rPr>
          <w:bCs/>
          <w:b/>
        </w:rPr>
        <w:t xml:space="preserve">Untestable now:</w:t>
      </w:r>
      <w:r>
        <w:t xml:space="preserve"> </w:t>
      </w:r>
      <w:r>
        <w:t xml:space="preserve">Cascade DM hard core (structural gap confirmed).</w:t>
      </w:r>
    </w:p>
    <w:p>
      <w:pPr>
        <w:pStyle w:val="FirstParagraph"/>
      </w:pPr>
      <w:r>
        <w:t xml:space="preserve">v3 does not claim new empirical support. The three new predictions (P29–P31) all require next-generation data.</w:t>
      </w:r>
    </w:p>
    <w:bookmarkEnd w:id="26"/>
    <w:bookmarkStart w:id="27" w:name="conclusion"/>
    <w:p>
      <w:pPr>
        <w:pStyle w:val="Heading1"/>
      </w:pPr>
      <w:r>
        <w:t xml:space="preserve">7. Conclusion</w:t>
      </w:r>
    </w:p>
    <w:p>
      <w:pPr>
        <w:pStyle w:val="FirstParagraph"/>
      </w:pPr>
      <w:r>
        <w:t xml:space="preserve">The v3 synthesis resolves the last structural inconsistency of the framework (why are cosmological reductions treated differently from astrophysical ones?) and generates three new prediction classes that distinguish ongoing from completed reductions. The 12 + 3 + 6 architecture is preserved. The empirical posture is unchanged: one robust confirmation, no genuine signals, the cascade hard core structurally untestable with current public data.</w:t>
      </w:r>
    </w:p>
    <w:p>
      <w:pPr>
        <w:pStyle w:val="BodyText"/>
      </w:pPr>
      <w:r>
        <w:t xml:space="preserve">The programme’s honest status after v7/v3: a structurally coherent research programme with a well-defined hard-core test (dark-matter species counting), a single empirical anchor (a₀ → Milgrom), a clear list of what has been falsified and retracted, and three rounds of methodologically rigorous testing that have narrowed the framework’s claims to what the data actually support. The next step is next-generation data, not further public-data mining.</w:t>
      </w:r>
    </w:p>
    <w:bookmarkEnd w:id="27"/>
    <w:bookmarkStart w:id="28" w:name="references"/>
    <w:p>
      <w:pPr>
        <w:pStyle w:val="Heading1"/>
      </w:pPr>
      <w:r>
        <w:t xml:space="preserve">References</w:t>
      </w:r>
    </w:p>
    <w:p>
      <w:pPr>
        <w:pStyle w:val="FirstParagraph"/>
      </w:pPr>
      <w:r>
        <w:t xml:space="preserve">As in v2.3.</w:t>
      </w:r>
    </w:p>
    <w:p>
      <w:r>
        <w:pict>
          <v:rect style="width:0;height:1.5pt" o:hralign="center" o:hrstd="t" o:hr="t"/>
        </w:pict>
      </w:r>
    </w:p>
    <w:p>
      <w:pPr>
        <w:pStyle w:val="FirstParagraph"/>
      </w:pPr>
      <w:r>
        <w:rPr>
          <w:iCs/>
          <w:i/>
        </w:rPr>
        <w:t xml:space="preserve">Manuscript prepared for double-blind peer review.</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Extended Crystallographic Synthesis (v3)</dc:title>
  <dc:creator>[Author names withheld]</dc:creator>
  <cp:keywords/>
  <dcterms:created xsi:type="dcterms:W3CDTF">2026-04-11T22:51:12Z</dcterms:created>
  <dcterms:modified xsi:type="dcterms:W3CDTF">2026-04-11T22:51:12Z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12 + 3 + 6, aligned with CCDR v7 — Local Ongoing Cascade</vt:lpwstr>
  </property>
</Properties>
</file>