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Розширений</w:t>
      </w:r>
      <w:r>
        <w:t xml:space="preserve"> </w:t>
      </w:r>
      <w:r>
        <w:t xml:space="preserve">кристалографічний</w:t>
      </w:r>
      <w:r>
        <w:t xml:space="preserve"> </w:t>
      </w:r>
      <w:r>
        <w:t xml:space="preserve">синтез</w:t>
      </w:r>
      <w:r>
        <w:t xml:space="preserve"> </w:t>
      </w:r>
      <w:r>
        <w:t xml:space="preserve">(v3)</w:t>
      </w:r>
    </w:p>
    <w:p>
      <w:pPr>
        <w:pStyle w:val="Subtitle"/>
      </w:pPr>
      <w:r>
        <w:t xml:space="preserve">12</w:t>
      </w:r>
      <w:r>
        <w:t xml:space="preserve"> </w:t>
      </w:r>
      <w:r>
        <w:t xml:space="preserve">+</w:t>
      </w:r>
      <w:r>
        <w:t xml:space="preserve"> </w:t>
      </w:r>
      <w:r>
        <w:t xml:space="preserve">3</w:t>
      </w:r>
      <w:r>
        <w:t xml:space="preserve"> </w:t>
      </w:r>
      <w:r>
        <w:t xml:space="preserve">+</w:t>
      </w:r>
      <w:r>
        <w:t xml:space="preserve"> </w:t>
      </w:r>
      <w:r>
        <w:t xml:space="preserve">6,</w:t>
      </w:r>
      <w:r>
        <w:t xml:space="preserve"> </w:t>
      </w:r>
      <w:r>
        <w:t xml:space="preserve">узгоджено</w:t>
      </w:r>
      <w:r>
        <w:t xml:space="preserve"> </w:t>
      </w:r>
      <w:r>
        <w:t xml:space="preserve">з</w:t>
      </w:r>
      <w:r>
        <w:t xml:space="preserve"> </w:t>
      </w:r>
      <w:r>
        <w:t xml:space="preserve">CCDR</w:t>
      </w:r>
      <w:r>
        <w:t xml:space="preserve"> </w:t>
      </w:r>
      <w:r>
        <w:t xml:space="preserve">v7</w:t>
      </w:r>
      <w:r>
        <w:t xml:space="preserve"> </w:t>
      </w:r>
      <w:r>
        <w:t xml:space="preserve">—</w:t>
      </w:r>
      <w:r>
        <w:t xml:space="preserve"> </w:t>
      </w:r>
      <w:r>
        <w:t xml:space="preserve">локальний</w:t>
      </w:r>
      <w:r>
        <w:t xml:space="preserve"> </w:t>
      </w:r>
      <w:r>
        <w:t xml:space="preserve">триваючий</w:t>
      </w:r>
      <w:r>
        <w:t xml:space="preserve"> </w:t>
      </w:r>
      <w:r>
        <w:t xml:space="preserve">каскад</w:t>
      </w:r>
    </w:p>
    <w:p>
      <w:pPr>
        <w:pStyle w:val="Author"/>
      </w:pPr>
      <w:r>
        <w:t xml:space="preserve">[Імена</w:t>
      </w:r>
      <w:r>
        <w:t xml:space="preserve"> </w:t>
      </w:r>
      <w:r>
        <w:t xml:space="preserve">авторів</w:t>
      </w:r>
      <w:r>
        <w:t xml:space="preserve"> </w:t>
      </w:r>
      <w:r>
        <w:t xml:space="preserve">приховано]</w:t>
      </w:r>
    </w:p>
    <w:p>
      <w:pPr>
        <w:pStyle w:val="Date"/>
      </w:pPr>
      <w:r>
        <w:t xml:space="preserve">Квітень</w:t>
      </w:r>
      <w:r>
        <w:t xml:space="preserve"> </w:t>
      </w:r>
      <w:r>
        <w:t xml:space="preserve">2026</w:t>
      </w:r>
    </w:p>
    <w:bookmarkStart w:id="20" w:name="анотація"/>
    <w:p>
      <w:pPr>
        <w:pStyle w:val="Heading1"/>
      </w:pPr>
      <w:r>
        <w:t xml:space="preserve">Анотація</w:t>
      </w:r>
    </w:p>
    <w:p>
      <w:pPr>
        <w:pStyle w:val="FirstParagraph"/>
      </w:pPr>
      <w:r>
        <w:t xml:space="preserve">Синтез v3 узгоджує архітектуру 12 + 3 + 6 зі структурною ревізією CCDR v7: вимірнісні редукції є локальними, асинхронними і потенційно триваючими. Три ролі структур оновлено; три нові прогнози додано; емпіричний рахунок із трьох раундів успадковано без змін.</w:t>
      </w:r>
    </w:p>
    <w:bookmarkEnd w:id="20"/>
    <w:bookmarkStart w:id="21" w:name="оновлені-ролі-структур"/>
    <w:p>
      <w:pPr>
        <w:pStyle w:val="Heading1"/>
      </w:pPr>
      <w:r>
        <w:t xml:space="preserve">1. Оновлені ролі структур</w:t>
      </w:r>
    </w:p>
    <w:p>
      <w:pPr>
        <w:pStyle w:val="FirstParagraph"/>
      </w:pPr>
      <w:r>
        <w:rPr>
          <w:bCs/>
          <w:b/>
        </w:rPr>
        <w:t xml:space="preserve">RVM (1.4)</w:t>
      </w:r>
      <w:r>
        <w:t xml:space="preserve"> </w:t>
      </w:r>
      <w:r>
        <w:t xml:space="preserve">— крива охолодження вакууму тепер керує не лише часуванням каскаду, але й</w:t>
      </w:r>
      <w:r>
        <w:t xml:space="preserve"> </w:t>
      </w:r>
      <w:r>
        <w:rPr>
          <w:iCs/>
          <w:i/>
        </w:rPr>
        <w:t xml:space="preserve">поточною швидкістю</w:t>
      </w:r>
      <w:r>
        <w:t xml:space="preserve"> </w:t>
      </w:r>
      <w:r>
        <w:t xml:space="preserve">будь-якої триваючої редукції. Стадійно-залежний ν(k) визначає dR_k/dt для триваючих стадій. Емпіричне ν ~ 0.01–0.03 стає</w:t>
      </w:r>
      <w:r>
        <w:t xml:space="preserve"> </w:t>
      </w:r>
      <w:r>
        <w:rPr>
          <w:iCs/>
          <w:i/>
        </w:rPr>
        <w:t xml:space="preserve">верхньою межею</w:t>
      </w:r>
      <w:r>
        <w:t xml:space="preserve"> </w:t>
      </w:r>
      <w:r>
        <w:t xml:space="preserve">на швидкості триваючих редукцій.</w:t>
      </w:r>
    </w:p>
    <w:p>
      <w:pPr>
        <w:pStyle w:val="BodyText"/>
      </w:pPr>
      <w:r>
        <w:rPr>
          <w:bCs/>
          <w:b/>
        </w:rPr>
        <w:t xml:space="preserve">CDT (1.6)</w:t>
      </w:r>
      <w:r>
        <w:t xml:space="preserve"> </w:t>
      </w:r>
      <w:r>
        <w:t xml:space="preserve">— симпліціальний інтеграл шляху тепер має вміщати конфігурації</w:t>
      </w:r>
      <w:r>
        <w:t xml:space="preserve"> </w:t>
      </w:r>
      <w:r>
        <w:rPr>
          <w:iCs/>
          <w:i/>
        </w:rPr>
        <w:t xml:space="preserve">змішаної вимірності</w:t>
      </w:r>
      <w:r>
        <w:t xml:space="preserve">: регіони, де деякі напрямки повністю компактифіковані, співіснують з регіонами, де інші ще розгорнуті.</w:t>
      </w:r>
    </w:p>
    <w:p>
      <w:pPr>
        <w:pStyle w:val="BodyText"/>
      </w:pPr>
      <w:r>
        <w:rPr>
          <w:bCs/>
          <w:b/>
        </w:rPr>
        <w:t xml:space="preserve">AQN (1.5)</w:t>
      </w:r>
      <w:r>
        <w:t xml:space="preserve"> </w:t>
      </w:r>
      <w:r>
        <w:t xml:space="preserve">— антикваркові нагетси як кристалічні дефекти тепер мають багатшу інтерпретацію: дефекти, утворені під час</w:t>
      </w:r>
      <w:r>
        <w:t xml:space="preserve"> </w:t>
      </w:r>
      <w:r>
        <w:rPr>
          <w:iCs/>
          <w:i/>
        </w:rPr>
        <w:t xml:space="preserve">завершених</w:t>
      </w:r>
      <w:r>
        <w:t xml:space="preserve"> </w:t>
      </w:r>
      <w:r>
        <w:t xml:space="preserve">редукцій, відрізняються від дефектів, що формуються у</w:t>
      </w:r>
      <w:r>
        <w:t xml:space="preserve"> </w:t>
      </w:r>
      <w:r>
        <w:rPr>
          <w:iCs/>
          <w:i/>
        </w:rPr>
        <w:t xml:space="preserve">триваючих</w:t>
      </w:r>
      <w:r>
        <w:t xml:space="preserve"> </w:t>
      </w:r>
      <w:r>
        <w:t xml:space="preserve">редукціях. Останні мають часово-залежні властивості.</w:t>
      </w:r>
    </w:p>
    <w:p>
      <w:pPr>
        <w:pStyle w:val="BodyText"/>
      </w:pPr>
      <w:r>
        <w:t xml:space="preserve">Інші структури — без змін від v2.3 з урахуванням локально-триваючого узагальнення.</w:t>
      </w:r>
    </w:p>
    <w:bookmarkEnd w:id="21"/>
    <w:bookmarkStart w:id="22" w:name="оновлені-прогнози"/>
    <w:p>
      <w:pPr>
        <w:pStyle w:val="Heading1"/>
      </w:pPr>
      <w:r>
        <w:t xml:space="preserve">2. Оновлені прогнози</w:t>
      </w:r>
    </w:p>
    <w:p>
      <w:pPr>
        <w:pStyle w:val="FirstParagraph"/>
      </w:pPr>
      <w:r>
        <w:t xml:space="preserve">P21–P28 з v2.3 без змін у статусі. Три нові прогнози з CCDR v7:</w:t>
      </w:r>
    </w:p>
    <w:p>
      <w:pPr>
        <w:pStyle w:val="BodyText"/>
      </w:pPr>
      <w:r>
        <w:rPr>
          <w:bCs/>
          <w:b/>
        </w:rPr>
        <w:t xml:space="preserve">P29 — Часово-варійована поширеність ТМ.</w:t>
      </w:r>
      <w:r>
        <w:t xml:space="preserve"> </w:t>
      </w:r>
      <w:r>
        <w:t xml:space="preserve">Ω_DM(t) зростає зі швидкістю ~ν H₀ Ω_ongoing. Тестовано з прецизійними багато-z оглядами.</w:t>
      </w:r>
    </w:p>
    <w:p>
      <w:pPr>
        <w:pStyle w:val="BodyText"/>
      </w:pPr>
      <w:r>
        <w:rPr>
          <w:bCs/>
          <w:b/>
        </w:rPr>
        <w:t xml:space="preserve">P30 — Густинно-корельована просторова варіація Ω_DM/Ω_B.</w:t>
      </w:r>
      <w:r>
        <w:t xml:space="preserve"> </w:t>
      </w:r>
      <w:r>
        <w:t xml:space="preserve">Ω_DM/Ω_B корелює з локальною густиною з амплітудою ~ν² ~ 10⁻⁴. Тестовано крос-кореляцією лінзування КМВ × огляди галактик.</w:t>
      </w:r>
    </w:p>
    <w:p>
      <w:pPr>
        <w:pStyle w:val="BodyText"/>
      </w:pPr>
      <w:r>
        <w:rPr>
          <w:bCs/>
          <w:b/>
        </w:rPr>
        <w:t xml:space="preserve">P31 — Дрейфуючий масовий пік ТМ.</w:t>
      </w:r>
      <w:r>
        <w:t xml:space="preserve"> </w:t>
      </w:r>
      <w:r>
        <w:t xml:space="preserve">dm/m ~ ν H₀ за одиницю часу. Тестовано 10-річними кампаніями прямого виявлення або порівнянням мас при z = 0 і z &gt; 0.5.</w:t>
      </w:r>
    </w:p>
    <w:bookmarkEnd w:id="22"/>
    <w:bookmarkStart w:id="23" w:name="шарова-спростовність"/>
    <w:p>
      <w:pPr>
        <w:pStyle w:val="Heading1"/>
      </w:pPr>
      <w:r>
        <w:t xml:space="preserve">3. Шарова спростовність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(CDT + каскадне ядро)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 (тепер включає конфігурації змішаної вимірності)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(GFT + TGFT-RG)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як систематичний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 саме; ν тепер також обмежує швидкості триваючих редукцій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(TN + HaPPY)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(SSM + AS + DA/O)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Сумісно + зобов’язання Койде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 саме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(RVM + CCDR)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Лише a₀ підтверджено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 саме + три нових непротестованих P29–P31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(баріогенез)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Нова умова виходу Шару 0:</w:t>
      </w:r>
      <w:r>
        <w:t xml:space="preserve"> </w:t>
      </w:r>
      <w:r>
        <w:t xml:space="preserve">якщо прецизійні огляди виявляють</w:t>
      </w:r>
      <w:r>
        <w:t xml:space="preserve"> </w:t>
      </w:r>
      <w:r>
        <w:rPr>
          <w:iCs/>
          <w:i/>
        </w:rPr>
        <w:t xml:space="preserve">точну</w:t>
      </w:r>
      <w:r>
        <w:t xml:space="preserve"> </w:t>
      </w:r>
      <w:r>
        <w:t xml:space="preserve">сталість Ω_DM по z до кращого за 10⁻⁴</w:t>
      </w:r>
      <w:r>
        <w:t xml:space="preserve"> </w:t>
      </w:r>
      <w:r>
        <w:rPr>
          <w:iCs/>
          <w:i/>
        </w:rPr>
        <w:t xml:space="preserve">і</w:t>
      </w:r>
      <w:r>
        <w:t xml:space="preserve"> </w:t>
      </w:r>
      <w:r>
        <w:t xml:space="preserve">жодної густинно-корельованої просторової варіації при 10⁻⁵,</w:t>
      </w:r>
      <w:r>
        <w:t xml:space="preserve"> </w:t>
      </w:r>
      <w:r>
        <w:rPr>
          <w:iCs/>
          <w:i/>
        </w:rPr>
        <w:t xml:space="preserve">і</w:t>
      </w:r>
      <w:r>
        <w:t xml:space="preserve"> </w:t>
      </w:r>
      <w:r>
        <w:t xml:space="preserve">жодного дрейфу масового піка за 10-річний базис, тоді розширення</w:t>
      </w:r>
      <w:r>
        <w:t xml:space="preserve"> </w:t>
      </w:r>
      <w:r>
        <w:t xml:space="preserve">“</w:t>
      </w:r>
      <w:r>
        <w:t xml:space="preserve">триваючої редукції</w:t>
      </w:r>
      <w:r>
        <w:t xml:space="preserve">”</w:t>
      </w:r>
      <w:r>
        <w:t xml:space="preserve"> </w:t>
      </w:r>
      <w:r>
        <w:t xml:space="preserve">v7 спростовано і фреймворк повертається до картини v6</w:t>
      </w:r>
      <w:r>
        <w:t xml:space="preserve"> </w:t>
      </w:r>
      <w:r>
        <w:t xml:space="preserve">“</w:t>
      </w:r>
      <w:r>
        <w:t xml:space="preserve">всі редукції завершені</w:t>
      </w:r>
      <w:r>
        <w:t xml:space="preserve">”</w:t>
      </w:r>
      <w:r>
        <w:t xml:space="preserve">. Каскадне тверде ядро (підрахунок піків для N) виживає в будь-якому випадку.</w:t>
      </w:r>
    </w:p>
    <w:bookmarkEnd w:id="23"/>
    <w:bookmarkStart w:id="24" w:name="три-гілки-та-шість-шляхів-розвязання"/>
    <w:p>
      <w:pPr>
        <w:pStyle w:val="Heading1"/>
      </w:pPr>
      <w:r>
        <w:t xml:space="preserve">4. Три гілки та шість шляхів розв’язання</w:t>
      </w:r>
    </w:p>
    <w:p>
      <w:pPr>
        <w:pStyle w:val="FirstParagraph"/>
      </w:pPr>
      <w:r>
        <w:t xml:space="preserve">Архітектура гілок незмінна. Локально-триваюче розширення зміцнює гілку CST ↔ CDT: причинні множини природно вміщають локально варійовану вимірність через варіацію густини посету.</w:t>
      </w:r>
    </w:p>
    <w:p>
      <w:pPr>
        <w:pStyle w:val="BodyText"/>
      </w:pPr>
      <w:r>
        <w:t xml:space="preserve">Шість шляхів розв’язання структурно без змін від v2.3. Шляхи 1 і 6 тепер мають включити можливість, що деякі стадії є незавершеними, що змінює граничні умови потоку RG.</w:t>
      </w:r>
    </w:p>
    <w:bookmarkEnd w:id="24"/>
    <w:bookmarkStart w:id="25" w:name="успадкований-емпіричний-рахунок"/>
    <w:p>
      <w:pPr>
        <w:pStyle w:val="Heading1"/>
      </w:pPr>
      <w:r>
        <w:t xml:space="preserve">5. Успадкований емпіричний рахунок</w:t>
      </w:r>
    </w:p>
    <w:p>
      <w:pPr>
        <w:pStyle w:val="FirstParagraph"/>
      </w:pPr>
      <w:r>
        <w:t xml:space="preserve">Без змін від v2.3:</w:t>
      </w:r>
      <w:r>
        <w:t xml:space="preserve"> </w:t>
      </w:r>
      <w:r>
        <w:rPr>
          <w:bCs/>
          <w:b/>
        </w:rPr>
        <w:t xml:space="preserve">підтверджено</w:t>
      </w:r>
      <w:r>
        <w:t xml:space="preserve"> </w:t>
      </w:r>
      <w:r>
        <w:t xml:space="preserve">a₀ → Мілгром;</w:t>
      </w:r>
      <w:r>
        <w:t xml:space="preserve"> </w:t>
      </w:r>
      <w:r>
        <w:rPr>
          <w:bCs/>
          <w:b/>
        </w:rPr>
        <w:t xml:space="preserve">ймовірний систематичний</w:t>
      </w:r>
      <w:r>
        <w:t xml:space="preserve"> </w:t>
      </w:r>
      <w:r>
        <w:t xml:space="preserve">ν &gt; 0;</w:t>
      </w:r>
      <w:r>
        <w:t xml:space="preserve"> </w:t>
      </w:r>
      <w:r>
        <w:rPr>
          <w:bCs/>
          <w:b/>
        </w:rPr>
        <w:t xml:space="preserve">спростовано/видалено</w:t>
      </w:r>
      <w:r>
        <w:t xml:space="preserve"> </w:t>
      </w:r>
      <w:r>
        <w:t xml:space="preserve">P3, P7-розш., одногарм. w(z), P9a, P9c;</w:t>
      </w:r>
      <w:r>
        <w:t xml:space="preserve"> </w:t>
      </w:r>
      <w:r>
        <w:rPr>
          <w:bCs/>
          <w:b/>
        </w:rPr>
        <w:t xml:space="preserve">зобов’язання</w:t>
      </w:r>
      <w:r>
        <w:t xml:space="preserve"> </w:t>
      </w:r>
      <w:r>
        <w:t xml:space="preserve">секторо-залежні шкали Койде;</w:t>
      </w:r>
      <w:r>
        <w:t xml:space="preserve"> </w:t>
      </w:r>
      <w:r>
        <w:rPr>
          <w:bCs/>
          <w:b/>
        </w:rPr>
        <w:t xml:space="preserve">непротестоване</w:t>
      </w:r>
      <w:r>
        <w:t xml:space="preserve"> </w:t>
      </w:r>
      <w:r>
        <w:t xml:space="preserve">каскадне тверде ядро.</w:t>
      </w:r>
    </w:p>
    <w:p>
      <w:pPr>
        <w:pStyle w:val="BodyText"/>
      </w:pPr>
      <w:r>
        <w:t xml:space="preserve">v3 не претендує на нову емпіричну підтримку. Три нові прогнози (P29–P31) потребують даних наступного покоління.</w:t>
      </w:r>
    </w:p>
    <w:bookmarkEnd w:id="25"/>
    <w:bookmarkStart w:id="26" w:name="висновок"/>
    <w:p>
      <w:pPr>
        <w:pStyle w:val="Heading1"/>
      </w:pPr>
      <w:r>
        <w:t xml:space="preserve">6. Висновок</w:t>
      </w:r>
    </w:p>
    <w:p>
      <w:pPr>
        <w:pStyle w:val="FirstParagraph"/>
      </w:pPr>
      <w:r>
        <w:t xml:space="preserve">Синтез v3 розв’язує останню структурну неузгодженість фреймворку і генерує три нові класи прогнозів. Архітектуру 12 + 3 + 6 збережено. Емпірична позиція не змінилася: одне надійне підтвердження, жодних справжніх сигналів, каскадне тверде ядро структурно непротестоване з поточними публічними даними.</w:t>
      </w:r>
    </w:p>
    <w:p>
      <w:pPr>
        <w:pStyle w:val="BodyText"/>
      </w:pPr>
      <w:r>
        <w:t xml:space="preserve">Чесний статус програми після v7/v3: структурно когерентна дослідницька програма з чітко визначеним тестом твердого ядра (підрахунок видів ТМ), єдиним емпіричним якорем (a₀ → Мілгром), чітким списком того, що було спростовано і відкликано, і трьома раундами методологічно строгого тестування, які звузили твердження фреймворку до того, що дані фактично підтримують. Наступний крок — дані наступного покоління, а не подальше видобування публічних даних.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Рукопис підготовлено для подвійного сліпого рецензування.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Розширений кристалографічний синтез (v3)</dc:title>
  <dc:creator>[Імена авторів приховано]</dc:creator>
  <dc:language>uk</dc:language>
  <cp:keywords/>
  <dcterms:created xsi:type="dcterms:W3CDTF">2026-04-11T22:51:12Z</dcterms:created>
  <dcterms:modified xsi:type="dcterms:W3CDTF">2026-04-11T22:51:12Z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Квітень 2026</vt:lpwstr>
  </property>
  <property fmtid="{D5CDD505-2E9C-101B-9397-08002B2CF9AE}" pid="3" name="subtitle">
    <vt:lpwstr>12 + 3 + 6, узгоджено з CCDR v7 — локальний триваючий каскад</vt:lpwstr>
  </property>
</Properties>
</file>