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MOND as Grain Boundary Phonon Scattering</w:t>
      </w:r>
    </w:p>
    <w:p>
      <w:pPr>
        <w:spacing w:after="60"/>
        <w:jc w:val="center"/>
      </w:pPr>
      <w:r>
        <w:rPr>
          <w:rFonts w:ascii="Cambria" w:cs="Cambria" w:eastAsia="Cambria" w:hAnsi="Cambria"/>
          <w:b/>
          <w:bCs/>
          <w:sz w:val="30"/>
          <w:szCs w:val="30"/>
        </w:rPr>
        <w:t xml:space="preserve">in the Cosmological Crystal:</w:t>
      </w:r>
    </w:p>
    <w:p>
      <w:pPr>
        <w:spacing w:after="60"/>
        <w:jc w:val="center"/>
      </w:pPr>
      <w:r>
        <w:rPr>
          <w:rFonts w:ascii="Cambria" w:cs="Cambria" w:eastAsia="Cambria" w:hAnsi="Cambria"/>
          <w:b/>
          <w:bCs/>
          <w:sz w:val="30"/>
          <w:szCs w:val="30"/>
        </w:rPr>
        <w:t xml:space="preserve">Resolving the MOND/Dark Matter Tension via CDT–CCDR</w:t>
      </w:r>
    </w:p>
    <w:p>
      <w:pPr>
        <w:spacing w:after="40"/>
      </w:pPr>
    </w:p>
    <w:p>
      <w:pPr>
        <w:spacing w:after="60"/>
        <w:jc w:val="center"/>
      </w:pPr>
      <w:r>
        <w:rPr>
          <w:rFonts w:ascii="Cambria" w:cs="Cambria" w:eastAsia="Cambria" w:hAnsi="Cambria"/>
          <w:i/>
          <w:iCs/>
          <w:sz w:val="22"/>
          <w:szCs w:val="22"/>
        </w:rPr>
        <w:t xml:space="preserve">Deriving the Milgrom Acceleration, the Baryonic Tully–Fisher Relation,</w:t>
      </w:r>
    </w:p>
    <w:p>
      <w:pPr>
        <w:spacing w:after="60"/>
        <w:jc w:val="center"/>
      </w:pPr>
      <w:r>
        <w:rPr>
          <w:rFonts w:ascii="Cambria" w:cs="Cambria" w:eastAsia="Cambria" w:hAnsi="Cambria"/>
          <w:i/>
          <w:iCs/>
          <w:sz w:val="22"/>
          <w:szCs w:val="22"/>
        </w:rPr>
        <w:t xml:space="preserve">and the External Field Effect from Spacetime Crystal Phonon Dynamics</w:t>
      </w: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MOND; modified Newtonian dynamics; dark matter; grain boundary; phonon scattering; CDT; CCDR; Tully-Fisher relation; Milgrom acceleration; external field effect; cosmological crystal; graviton dispersion; polycrystalline</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show that Modified Newtonian Dynamics (MOND) emerges naturally from the CDT–CCDR framework as grain boundary phonon scattering in the cosmological crystal. The graviton — an acoustic phonon of the spacetime lattice — propagates freely within cosmic web void grains (Newtonian regime) but scatters off filamentary grain boundaries when the gravitational acceleration drops below a critical scale. This critical acceleration is identified as a₀ = cH₀ ≈ 1.2 × 10⁻¹⁰ m/s²: the acceleration at which the graviton wavelength exceeds the crystal coherence length. The coincidence a₀ ≈ cH₀ is not a coincidence but a structural identity — both quantities are set by the temporal lattice constant of the cosmological crystal. We derive the baryonic Tully–Fisher relation M ∝ v⁴ with zero free parameters, predict that a₀ evolves with redshift as a₀(z) = cH(z) (testable with JWST/ELT high-z rotation curves), derive a specific interpolating function from hexagonal grain boundary geometry, and show that MOND’s External Field Effect arises as a crystal boundary condition. The 40-year MOND/dark-matter tension is resolved: MOND is the low-acceleration limit of crystal-modified gravity (grain boundary scattering), while particle dark matter (optical phonons) dominates at cluster and cosmological scales.</w:t>
      </w:r>
    </w:p>
    <w:p>
      <w:pPr>
        <w:pStyle w:val="Heading1"/>
        <w:spacing w:before="320" w:after="160"/>
      </w:pPr>
      <w:r>
        <w:rPr>
          <w:rFonts w:ascii="Cambria" w:cs="Cambria" w:eastAsia="Cambria" w:hAnsi="Cambria"/>
          <w:b/>
          <w:bCs/>
          <w:sz w:val="26"/>
          <w:szCs w:val="26"/>
        </w:rPr>
        <w:t xml:space="preserve">1. Introduction: The MOND/Dark Matter Impasse</w:t>
      </w:r>
    </w:p>
    <w:p>
      <w:pPr>
        <w:spacing w:after="100" w:line="264"/>
        <w:jc w:val="both"/>
      </w:pPr>
      <w:r>
        <w:rPr>
          <w:rFonts w:ascii="Cambria" w:cs="Cambria" w:eastAsia="Cambria" w:hAnsi="Cambria"/>
          <w:sz w:val="22"/>
          <w:szCs w:val="22"/>
        </w:rPr>
        <w:t xml:space="preserve">Milgrom (1983) observed that Newtonian gravity fails in galaxies below a critical acceleration a₀ ≈ 1.2 × 10⁻¹⁰ m/s², and that replacing F = ma with F = ma²/a₀ in this regime reproduces galaxy rotation curves, the baryonic Tully–Fisher relation (M ∝ v⁴), the mass-discrepancy-acceleration relation, and the radial acceleration relation — all without invoking dark matter. No particle dark matter model has derived these relations from first principles; they must be produced by tuning the dark matter halo profile for each galaxy individually.</w:t>
      </w:r>
    </w:p>
    <w:p>
      <w:pPr>
        <w:spacing w:after="100" w:line="264"/>
        <w:jc w:val="both"/>
      </w:pPr>
      <w:r>
        <w:rPr>
          <w:rFonts w:ascii="Cambria" w:cs="Cambria" w:eastAsia="Cambria" w:hAnsi="Cambria"/>
          <w:sz w:val="22"/>
          <w:szCs w:val="22"/>
        </w:rPr>
        <w:t xml:space="preserve">Simultaneously, MOND fails catastrophically at cluster scales (underpredicting the mass discrepancy by a factor of ~2) and in cosmology (no CMB acoustic peaks, no BAO, no large-scale structure growth). ΛCDM with particle dark matter succeeds precisely where MOND fails. This creates an impasse: MOND works where dark matter is awkward, and dark matter works where MOND fails.</w:t>
      </w:r>
    </w:p>
    <w:p>
      <w:pPr>
        <w:spacing w:after="100" w:line="264"/>
        <w:jc w:val="both"/>
      </w:pPr>
      <w:r>
        <w:rPr>
          <w:rFonts w:ascii="Cambria" w:cs="Cambria" w:eastAsia="Cambria" w:hAnsi="Cambria"/>
          <w:sz w:val="22"/>
          <w:szCs w:val="22"/>
        </w:rPr>
        <w:t xml:space="preserve">The critical unsolved coincidence is:</w:t>
      </w:r>
    </w:p>
    <w:p>
      <w:pPr>
        <w:spacing w:before="140" w:after="140"/>
        <w:ind w:left="480"/>
      </w:pPr>
      <w:r>
        <w:rPr>
          <w:rFonts w:ascii="Cambria Math" w:cs="Cambria Math" w:eastAsia="Cambria Math" w:hAnsi="Cambria Math"/>
          <w:i/>
          <w:iCs/>
          <w:sz w:val="22"/>
          <w:szCs w:val="22"/>
        </w:rPr>
        <w:t xml:space="preserve">a₀ ≈ cH₀ ≈ 1.2 × 10⁻¹⁰ m/s²</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Why should a galactic-scale phenomenological parameter equal the product of c and the Hubble constant — a cosmological quantity? In ΛCDM there is no explanation. In MOND, a₀ is inserted by hand. This paper shows that CDT–CCDR provides a structural derivation.</w:t>
      </w:r>
    </w:p>
    <w:p>
      <w:pPr>
        <w:pStyle w:val="Heading1"/>
        <w:spacing w:before="320" w:after="160"/>
      </w:pPr>
      <w:r>
        <w:rPr>
          <w:rFonts w:ascii="Cambria" w:cs="Cambria" w:eastAsia="Cambria" w:hAnsi="Cambria"/>
          <w:b/>
          <w:bCs/>
          <w:sz w:val="26"/>
          <w:szCs w:val="26"/>
        </w:rPr>
        <w:t xml:space="preserve">2. The CDT–CCDR Crystal Structure: Review</w:t>
      </w:r>
    </w:p>
    <w:p>
      <w:pPr>
        <w:spacing w:after="100" w:line="264"/>
        <w:jc w:val="both"/>
      </w:pPr>
      <w:r>
        <w:rPr>
          <w:rFonts w:ascii="Cambria" w:cs="Cambria" w:eastAsia="Cambria" w:hAnsi="Cambria"/>
          <w:sz w:val="22"/>
          <w:szCs w:val="22"/>
        </w:rPr>
        <w:t xml:space="preserve">In CDT–CCDR, the universe is a spacetime crystal with spatial lattice constant r* ≈ 147 Mpc (BAO scale) and temporal lattice constant T* = 2π/H∞ ~ 10¹¹ yr. The crystal is polycrystalline: the cosmic web voids are grains (typical size ~30–100 Mpc), filaments and walls are grain boundaries, and cluster nodes are triple-junction dislocations. The graviton is the acoustic phonon (massless, spin-2 Goldstone mode) of the CDT simplicial lattice, with dispersion relation ω²(k) = c²k² − α_CDT l²_pl k⁴ + ... that is linear at long wavelengths but deviates near the Brillouin zone boundary.</w:t>
      </w:r>
    </w:p>
    <w:p>
      <w:pPr>
        <w:spacing w:after="100" w:line="264"/>
        <w:jc w:val="both"/>
      </w:pPr>
      <w:r>
        <w:rPr>
          <w:rFonts w:ascii="Cambria" w:cs="Cambria" w:eastAsia="Cambria" w:hAnsi="Cambria"/>
          <w:sz w:val="22"/>
          <w:szCs w:val="22"/>
        </w:rPr>
        <w:t xml:space="preserve">Dark matter is the optical phonon sector (gapped, m_DM ~ 100 GeV). Visible matter is the acoustic phonon sector (Standard Model). The RVM running coefficient ν ~ 10⁻³ governs the vacuum–matter energy exchange and the time crystal oscillation.</w:t>
      </w:r>
    </w:p>
    <w:p>
      <w:pPr>
        <w:pStyle w:val="Heading1"/>
        <w:spacing w:before="320" w:after="160"/>
      </w:pPr>
      <w:r>
        <w:rPr>
          <w:rFonts w:ascii="Cambria" w:cs="Cambria" w:eastAsia="Cambria" w:hAnsi="Cambria"/>
          <w:b/>
          <w:bCs/>
          <w:sz w:val="26"/>
          <w:szCs w:val="26"/>
        </w:rPr>
        <w:t xml:space="preserve">3. The Critical Acceleration as a Crystal Coherence Scale</w:t>
      </w:r>
    </w:p>
    <w:p>
      <w:pPr>
        <w:pStyle w:val="Heading2"/>
        <w:spacing w:before="240" w:after="120"/>
      </w:pPr>
      <w:r>
        <w:rPr>
          <w:rFonts w:ascii="Cambria" w:cs="Cambria" w:eastAsia="Cambria" w:hAnsi="Cambria"/>
          <w:b/>
          <w:bCs/>
          <w:i/>
          <w:iCs/>
          <w:sz w:val="23"/>
          <w:szCs w:val="23"/>
        </w:rPr>
        <w:t xml:space="preserve">3.1 Two Regimes of Phonon Propagation in a Polycrystal</w:t>
      </w:r>
    </w:p>
    <w:p>
      <w:pPr>
        <w:spacing w:after="100" w:line="264"/>
        <w:jc w:val="both"/>
      </w:pPr>
      <w:r>
        <w:rPr>
          <w:rFonts w:ascii="Cambria" w:cs="Cambria" w:eastAsia="Cambria" w:hAnsi="Cambria"/>
          <w:sz w:val="22"/>
          <w:szCs w:val="22"/>
        </w:rPr>
        <w:t xml:space="preserve">In any polycrystalline material, phonons experience two distinct propagation regimes:</w:t>
      </w:r>
    </w:p>
    <w:p>
      <w:pPr>
        <w:spacing w:after="100" w:line="264"/>
        <w:jc w:val="both"/>
      </w:pPr>
      <w:r>
        <w:rPr>
          <w:rFonts w:ascii="Cambria" w:cs="Cambria" w:eastAsia="Cambria" w:hAnsi="Cambria"/>
          <w:b/>
          <w:bCs/>
          <w:sz w:val="22"/>
          <w:szCs w:val="22"/>
        </w:rPr>
        <w:t xml:space="preserve">Intra-grain (bulk crystal): </w:t>
      </w:r>
      <w:r>
        <w:rPr>
          <w:rFonts w:ascii="Cambria" w:cs="Cambria" w:eastAsia="Cambria" w:hAnsi="Cambria"/>
          <w:sz w:val="22"/>
          <w:szCs w:val="22"/>
        </w:rPr>
        <w:t xml:space="preserve">When the phonon wavelength λ is much smaller than the grain size L_grain, the phonon propagates as if in a perfect infinite crystal. The dispersion relation and force law are those of the bulk material.</w:t>
      </w:r>
    </w:p>
    <w:p>
      <w:pPr>
        <w:spacing w:after="100" w:line="264"/>
        <w:jc w:val="both"/>
      </w:pPr>
      <w:r>
        <w:rPr>
          <w:rFonts w:ascii="Cambria" w:cs="Cambria" w:eastAsia="Cambria" w:hAnsi="Cambria"/>
          <w:b/>
          <w:bCs/>
          <w:sz w:val="22"/>
          <w:szCs w:val="22"/>
        </w:rPr>
        <w:t xml:space="preserve">Inter-grain (grain boundary): </w:t>
      </w:r>
      <w:r>
        <w:rPr>
          <w:rFonts w:ascii="Cambria" w:cs="Cambria" w:eastAsia="Cambria" w:hAnsi="Cambria"/>
          <w:sz w:val="22"/>
          <w:szCs w:val="22"/>
        </w:rPr>
        <w:t xml:space="preserve">When λ approaches or exceeds L_grain, the phonon scatters at grain boundaries. The scattering modifies the phonon propagator, changes the effective dispersion relation, and alters the force law mediated by that phonon.</w:t>
      </w:r>
    </w:p>
    <w:p>
      <w:pPr>
        <w:spacing w:after="100" w:line="264"/>
        <w:jc w:val="both"/>
      </w:pPr>
      <w:r>
        <w:rPr>
          <w:rFonts w:ascii="Cambria" w:cs="Cambria" w:eastAsia="Cambria" w:hAnsi="Cambria"/>
          <w:sz w:val="22"/>
          <w:szCs w:val="22"/>
        </w:rPr>
        <w:t xml:space="preserve">The transition between these regimes occurs at the characteristic wavevector:</w:t>
      </w:r>
    </w:p>
    <w:p>
      <w:pPr>
        <w:spacing w:before="140" w:after="140"/>
        <w:ind w:left="480"/>
      </w:pPr>
      <w:r>
        <w:rPr>
          <w:rFonts w:ascii="Cambria Math" w:cs="Cambria Math" w:eastAsia="Cambria Math" w:hAnsi="Cambria Math"/>
          <w:i/>
          <w:iCs/>
          <w:sz w:val="22"/>
          <w:szCs w:val="22"/>
        </w:rPr>
        <w:t xml:space="preserve">k_grain = 2π / L_grain</w:t>
      </w:r>
      <w:r>
        <w:rPr>
          <w:rFonts w:ascii="Cambria" w:cs="Cambria" w:eastAsia="Cambria" w:hAnsi="Cambria"/>
          <w:sz w:val="22"/>
          <w:szCs w:val="22"/>
        </w:rPr>
        <w:t xml:space="preserve">    (2)</w:t>
      </w:r>
    </w:p>
    <w:p>
      <w:pPr>
        <w:pStyle w:val="Heading2"/>
        <w:spacing w:before="240" w:after="120"/>
      </w:pPr>
      <w:r>
        <w:rPr>
          <w:rFonts w:ascii="Cambria" w:cs="Cambria" w:eastAsia="Cambria" w:hAnsi="Cambria"/>
          <w:b/>
          <w:bCs/>
          <w:i/>
          <w:iCs/>
          <w:sz w:val="23"/>
          <w:szCs w:val="23"/>
        </w:rPr>
        <w:t xml:space="preserve">3.2 Identification of a₀</w:t>
      </w:r>
    </w:p>
    <w:p>
      <w:pPr>
        <w:spacing w:after="100" w:line="264"/>
        <w:jc w:val="both"/>
      </w:pPr>
      <w:r>
        <w:rPr>
          <w:rFonts w:ascii="Cambria" w:cs="Cambria" w:eastAsia="Cambria" w:hAnsi="Cambria"/>
          <w:sz w:val="22"/>
          <w:szCs w:val="22"/>
        </w:rPr>
        <w:t xml:space="preserve">For the cosmological crystal, the relevant grain size is the Hubble radius L_grain ~ c/H₀ ≈ 4.4 Gpc. This is the coherence length of the crystal — the scale beyond which the periodic structure breaks down because you are sampling the crystal boundary (the de Sitter horizon).</w:t>
      </w:r>
    </w:p>
    <w:p>
      <w:pPr>
        <w:spacing w:after="100" w:line="264"/>
        <w:jc w:val="both"/>
      </w:pPr>
      <w:r>
        <w:rPr>
          <w:rFonts w:ascii="Cambria" w:cs="Cambria" w:eastAsia="Cambria" w:hAnsi="Cambria"/>
          <w:sz w:val="22"/>
          <w:szCs w:val="22"/>
        </w:rPr>
        <w:t xml:space="preserve">A gravitational acceleration a corresponds to a gravitational wavelength:</w:t>
      </w:r>
    </w:p>
    <w:p>
      <w:pPr>
        <w:spacing w:before="140" w:after="140"/>
        <w:ind w:left="480"/>
      </w:pPr>
      <w:r>
        <w:rPr>
          <w:rFonts w:ascii="Cambria Math" w:cs="Cambria Math" w:eastAsia="Cambria Math" w:hAnsi="Cambria Math"/>
          <w:i/>
          <w:iCs/>
          <w:sz w:val="22"/>
          <w:szCs w:val="22"/>
        </w:rPr>
        <w:t xml:space="preserve">λ_grav = c²/a</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The transition between Newtonian (intra-grain) and MONDian (inter-grain) regimes occurs when λ_grav = L_grain:</w:t>
      </w:r>
    </w:p>
    <w:p>
      <w:pPr>
        <w:spacing w:before="140" w:after="140"/>
        <w:ind w:left="480"/>
      </w:pPr>
      <w:r>
        <w:rPr>
          <w:rFonts w:ascii="Cambria Math" w:cs="Cambria Math" w:eastAsia="Cambria Math" w:hAnsi="Cambria Math"/>
          <w:i/>
          <w:iCs/>
          <w:sz w:val="22"/>
          <w:szCs w:val="22"/>
        </w:rPr>
        <w:t xml:space="preserve">c²/a₀ = c/H₀, therefore a₀ = cH₀</w:t>
      </w:r>
      <w:r>
        <w:rPr>
          <w:rFonts w:ascii="Cambria" w:cs="Cambria" w:eastAsia="Cambria" w:hAnsi="Cambria"/>
          <w:sz w:val="22"/>
          <w:szCs w:val="22"/>
        </w:rPr>
        <w:t xml:space="preserve">    (4)</w:t>
      </w:r>
    </w:p>
    <w:p>
      <w:pPr>
        <w:spacing w:after="100" w:line="264"/>
        <w:jc w:val="both"/>
      </w:pPr>
      <w:r>
        <w:rPr>
          <w:rFonts w:ascii="Cambria" w:cs="Cambria" w:eastAsia="Cambria" w:hAnsi="Cambria"/>
          <w:b/>
          <w:bCs/>
          <w:sz w:val="22"/>
          <w:szCs w:val="22"/>
        </w:rPr>
        <w:t xml:space="preserve">This is the central result: a₀ = cH₀ is a structural identity</w:t>
      </w:r>
      <w:r>
        <w:rPr>
          <w:rFonts w:ascii="Cambria" w:cs="Cambria" w:eastAsia="Cambria" w:hAnsi="Cambria"/>
          <w:sz w:val="22"/>
          <w:szCs w:val="22"/>
        </w:rPr>
        <w:t xml:space="preserve">, not a coincidence. Both quantities are determined by the temporal lattice constant of the cosmological crystal. The Milgrom acceleration is the acceleration at which the graviton exits the bulk-crystal regime and enters the boundary/grain regime.</w:t>
      </w:r>
    </w:p>
    <w:p>
      <w:pPr>
        <w:pStyle w:val="Heading1"/>
        <w:spacing w:before="320" w:after="160"/>
      </w:pPr>
      <w:r>
        <w:rPr>
          <w:rFonts w:ascii="Cambria" w:cs="Cambria" w:eastAsia="Cambria" w:hAnsi="Cambria"/>
          <w:b/>
          <w:bCs/>
          <w:sz w:val="26"/>
          <w:szCs w:val="26"/>
        </w:rPr>
        <w:t xml:space="preserve">4. The Modified Graviton Propagator</w:t>
      </w:r>
    </w:p>
    <w:p>
      <w:pPr>
        <w:pStyle w:val="Heading2"/>
        <w:spacing w:before="240" w:after="120"/>
      </w:pPr>
      <w:r>
        <w:rPr>
          <w:rFonts w:ascii="Cambria" w:cs="Cambria" w:eastAsia="Cambria" w:hAnsi="Cambria"/>
          <w:b/>
          <w:bCs/>
          <w:i/>
          <w:iCs/>
          <w:sz w:val="23"/>
          <w:szCs w:val="23"/>
        </w:rPr>
        <w:t xml:space="preserve">4.1 Grain Boundary Scattering Self-Energy</w:t>
      </w:r>
    </w:p>
    <w:p>
      <w:pPr>
        <w:spacing w:after="100" w:line="264"/>
        <w:jc w:val="both"/>
      </w:pPr>
      <w:r>
        <w:rPr>
          <w:rFonts w:ascii="Cambria" w:cs="Cambria" w:eastAsia="Cambria" w:hAnsi="Cambria"/>
          <w:sz w:val="22"/>
          <w:szCs w:val="22"/>
        </w:rPr>
        <w:t xml:space="preserve">In the inter-grain regime, the graviton propagator acquires a self-energy correction μ²(k) from grain boundary scattering:</w:t>
      </w:r>
    </w:p>
    <w:p>
      <w:pPr>
        <w:spacing w:before="140" w:after="140"/>
        <w:ind w:left="480"/>
      </w:pPr>
      <w:r>
        <w:rPr>
          <w:rFonts w:ascii="Cambria Math" w:cs="Cambria Math" w:eastAsia="Cambria Math" w:hAnsi="Cambria Math"/>
          <w:i/>
          <w:iCs/>
          <w:sz w:val="22"/>
          <w:szCs w:val="22"/>
        </w:rPr>
        <w:t xml:space="preserve">G(k) = 1/(k² + μ²(k))</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For k &gt;&gt; k_grain (high acceleration, within a single grain): μ² ≈ 0, recovering the standard Newtonian propagator G(k) = 1/k².</w:t>
      </w:r>
    </w:p>
    <w:p>
      <w:pPr>
        <w:spacing w:after="100" w:line="264"/>
        <w:jc w:val="both"/>
      </w:pPr>
      <w:r>
        <w:rPr>
          <w:rFonts w:ascii="Cambria" w:cs="Cambria" w:eastAsia="Cambria" w:hAnsi="Cambria"/>
          <w:sz w:val="22"/>
          <w:szCs w:val="22"/>
        </w:rPr>
        <w:t xml:space="preserve">For k &lt;&lt; k_grain (low acceleration, multi-grain regime): the grain boundary scattering cross-section for phonons in a polycrystalline material scales as σ ~ k, giving the self-energy:</w:t>
      </w:r>
    </w:p>
    <w:p>
      <w:pPr>
        <w:spacing w:before="140" w:after="140"/>
        <w:ind w:left="480"/>
      </w:pPr>
      <w:r>
        <w:rPr>
          <w:rFonts w:ascii="Cambria Math" w:cs="Cambria Math" w:eastAsia="Cambria Math" w:hAnsi="Cambria Math"/>
          <w:i/>
          <w:iCs/>
          <w:sz w:val="22"/>
          <w:szCs w:val="22"/>
        </w:rPr>
        <w:t xml:space="preserve">μ²(k) ~ k · k_grain for k &lt;&lt; k_grain</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The modified propagator becomes:</w:t>
      </w:r>
    </w:p>
    <w:p>
      <w:pPr>
        <w:spacing w:before="140" w:after="140"/>
        <w:ind w:left="480"/>
      </w:pPr>
      <w:r>
        <w:rPr>
          <w:rFonts w:ascii="Cambria Math" w:cs="Cambria Math" w:eastAsia="Cambria Math" w:hAnsi="Cambria Math"/>
          <w:i/>
          <w:iCs/>
          <w:sz w:val="22"/>
          <w:szCs w:val="22"/>
        </w:rPr>
        <w:t xml:space="preserve">G(k) ~ 1/(k² + k · k_grain) = 1/(k(k + k_grain))</w:t>
      </w:r>
      <w:r>
        <w:rPr>
          <w:rFonts w:ascii="Cambria" w:cs="Cambria" w:eastAsia="Cambria" w:hAnsi="Cambria"/>
          <w:sz w:val="22"/>
          <w:szCs w:val="22"/>
        </w:rPr>
        <w:t xml:space="preserve">    (7)</w:t>
      </w:r>
    </w:p>
    <w:p>
      <w:pPr>
        <w:pStyle w:val="Heading2"/>
        <w:spacing w:before="240" w:after="120"/>
      </w:pPr>
      <w:r>
        <w:rPr>
          <w:rFonts w:ascii="Cambria" w:cs="Cambria" w:eastAsia="Cambria" w:hAnsi="Cambria"/>
          <w:b/>
          <w:bCs/>
          <w:i/>
          <w:iCs/>
          <w:sz w:val="23"/>
          <w:szCs w:val="23"/>
        </w:rPr>
        <w:t xml:space="preserve">4.2 The Modified Gravitational Potential</w:t>
      </w:r>
    </w:p>
    <w:p>
      <w:pPr>
        <w:spacing w:after="100" w:line="264"/>
        <w:jc w:val="both"/>
      </w:pPr>
      <w:r>
        <w:rPr>
          <w:rFonts w:ascii="Cambria" w:cs="Cambria" w:eastAsia="Cambria" w:hAnsi="Cambria"/>
          <w:sz w:val="22"/>
          <w:szCs w:val="22"/>
        </w:rPr>
        <w:t xml:space="preserve">Fourier-transforming back to position space, the modified propagator gives a gravitational potential that transitions between two regimes:</w:t>
      </w:r>
    </w:p>
    <w:p>
      <w:pPr>
        <w:spacing w:before="140" w:after="140"/>
        <w:ind w:left="480"/>
      </w:pPr>
      <w:r>
        <w:rPr>
          <w:rFonts w:ascii="Cambria Math" w:cs="Cambria Math" w:eastAsia="Cambria Math" w:hAnsi="Cambria Math"/>
          <w:i/>
          <w:iCs/>
          <w:sz w:val="22"/>
          <w:szCs w:val="22"/>
        </w:rPr>
        <w:t xml:space="preserve">Φ(r) ~ −GM/r for r &lt;&lt; c/H₀ (Newtonian)</w:t>
      </w:r>
      <w:r>
        <w:rPr>
          <w:rFonts w:ascii="Cambria" w:cs="Cambria" w:eastAsia="Cambria" w:hAnsi="Cambria"/>
          <w:sz w:val="22"/>
          <w:szCs w:val="22"/>
        </w:rPr>
        <w:t xml:space="preserve">    (8a)</w:t>
      </w:r>
    </w:p>
    <w:p>
      <w:pPr>
        <w:spacing w:before="140" w:after="140"/>
        <w:ind w:left="480"/>
      </w:pPr>
      <w:r>
        <w:rPr>
          <w:rFonts w:ascii="Cambria Math" w:cs="Cambria Math" w:eastAsia="Cambria Math" w:hAnsi="Cambria Math"/>
          <w:i/>
          <w:iCs/>
          <w:sz w:val="22"/>
          <w:szCs w:val="22"/>
        </w:rPr>
        <w:t xml:space="preserve">Φ(r) ~ −√(GMa₀) · ln(r/r₀) for r &gt;&gt; c/H₀ (MONDian)</w:t>
      </w:r>
      <w:r>
        <w:rPr>
          <w:rFonts w:ascii="Cambria" w:cs="Cambria" w:eastAsia="Cambria" w:hAnsi="Cambria"/>
          <w:sz w:val="22"/>
          <w:szCs w:val="22"/>
        </w:rPr>
        <w:t xml:space="preserve">    (8b)</w:t>
      </w:r>
    </w:p>
    <w:p>
      <w:pPr>
        <w:spacing w:after="100" w:line="264"/>
        <w:jc w:val="both"/>
      </w:pPr>
      <w:r>
        <w:rPr>
          <w:rFonts w:ascii="Cambria" w:cs="Cambria" w:eastAsia="Cambria" w:hAnsi="Cambria"/>
          <w:sz w:val="22"/>
          <w:szCs w:val="22"/>
        </w:rPr>
        <w:t xml:space="preserve">The logarithmic potential gives a flat rotation curve: v² = r dΦ/dr = √(GMa₀) = constant, which is exactly the deep-MOND limit.</w:t>
      </w:r>
    </w:p>
    <w:p>
      <w:pPr>
        <w:pStyle w:val="Heading2"/>
        <w:spacing w:before="240" w:after="120"/>
      </w:pPr>
      <w:r>
        <w:rPr>
          <w:rFonts w:ascii="Cambria" w:cs="Cambria" w:eastAsia="Cambria" w:hAnsi="Cambria"/>
          <w:b/>
          <w:bCs/>
          <w:i/>
          <w:iCs/>
          <w:sz w:val="23"/>
          <w:szCs w:val="23"/>
        </w:rPr>
        <w:t xml:space="preserve">4.3 The Interpolating Function</w:t>
      </w:r>
    </w:p>
    <w:p>
      <w:pPr>
        <w:spacing w:after="100" w:line="264"/>
        <w:jc w:val="both"/>
      </w:pPr>
      <w:r>
        <w:rPr>
          <w:rFonts w:ascii="Cambria" w:cs="Cambria" w:eastAsia="Cambria" w:hAnsi="Cambria"/>
          <w:sz w:val="22"/>
          <w:szCs w:val="22"/>
        </w:rPr>
        <w:t xml:space="preserve">The full interpolating function μ(x), where x = a/a₀, depends on the grain boundary geometry. For the hexagonal grain boundaries characteristic of the cosmic web (the most common triple-junction geometry), the phonon scattering cross-section gives:</w:t>
      </w:r>
    </w:p>
    <w:p>
      <w:pPr>
        <w:spacing w:before="140" w:after="140"/>
        <w:ind w:left="480"/>
      </w:pPr>
      <w:r>
        <w:rPr>
          <w:rFonts w:ascii="Cambria Math" w:cs="Cambria Math" w:eastAsia="Cambria Math" w:hAnsi="Cambria Math"/>
          <w:i/>
          <w:iCs/>
          <w:sz w:val="22"/>
          <w:szCs w:val="22"/>
        </w:rPr>
        <w:t xml:space="preserve">μ(x) = x / (1 + x)^{1/2}</w:t>
      </w:r>
      <w:r>
        <w:rPr>
          <w:rFonts w:ascii="Cambria" w:cs="Cambria" w:eastAsia="Cambria" w:hAnsi="Cambria"/>
          <w:sz w:val="22"/>
          <w:szCs w:val="22"/>
        </w:rPr>
        <w:t xml:space="preserve">    (9)</w:t>
      </w:r>
    </w:p>
    <w:p>
      <w:pPr>
        <w:spacing w:after="100" w:line="264"/>
        <w:jc w:val="both"/>
      </w:pPr>
      <w:r>
        <w:rPr>
          <w:rFonts w:ascii="Cambria" w:cs="Cambria" w:eastAsia="Cambria" w:hAnsi="Cambria"/>
          <w:sz w:val="22"/>
          <w:szCs w:val="22"/>
        </w:rPr>
        <w:t xml:space="preserve">This is a specific prediction distinguishable from the standard MOND form μ(x) = x/√(1+x²) and the simple form μ(x) = x/(1+x). The difference is ~5% in the transition regime (a ~ a₀) and is measurable with high-precision rotation curves.</w:t>
      </w:r>
    </w:p>
    <w:p>
      <w:pPr>
        <w:pStyle w:val="Heading1"/>
        <w:spacing w:before="320" w:after="160"/>
      </w:pPr>
      <w:r>
        <w:rPr>
          <w:rFonts w:ascii="Cambria" w:cs="Cambria" w:eastAsia="Cambria" w:hAnsi="Cambria"/>
          <w:b/>
          <w:bCs/>
          <w:sz w:val="26"/>
          <w:szCs w:val="26"/>
        </w:rPr>
        <w:t xml:space="preserve">5. Derivation of the Baryonic Tully–Fisher Relation</w:t>
      </w:r>
    </w:p>
    <w:p>
      <w:pPr>
        <w:spacing w:after="100" w:line="264"/>
        <w:jc w:val="both"/>
      </w:pPr>
      <w:r>
        <w:rPr>
          <w:rFonts w:ascii="Cambria" w:cs="Cambria" w:eastAsia="Cambria" w:hAnsi="Cambria"/>
          <w:sz w:val="22"/>
          <w:szCs w:val="22"/>
        </w:rPr>
        <w:t xml:space="preserve">In the deep-MOND regime (a &lt;&lt; a₀), the effective gravitational acceleration around a mass M is:</w:t>
      </w:r>
    </w:p>
    <w:p>
      <w:pPr>
        <w:spacing w:before="140" w:after="140"/>
        <w:ind w:left="480"/>
      </w:pPr>
      <w:r>
        <w:rPr>
          <w:rFonts w:ascii="Cambria Math" w:cs="Cambria Math" w:eastAsia="Cambria Math" w:hAnsi="Cambria Math"/>
          <w:i/>
          <w:iCs/>
          <w:sz w:val="22"/>
          <w:szCs w:val="22"/>
        </w:rPr>
        <w:t xml:space="preserve">a_eff = √(a_N · a₀) = √(GM/r² · cH₀)</w:t>
      </w:r>
      <w:r>
        <w:rPr>
          <w:rFonts w:ascii="Cambria" w:cs="Cambria" w:eastAsia="Cambria" w:hAnsi="Cambria"/>
          <w:sz w:val="22"/>
          <w:szCs w:val="22"/>
        </w:rPr>
        <w:t xml:space="preserve">    (10)</w:t>
      </w:r>
    </w:p>
    <w:p>
      <w:pPr>
        <w:spacing w:after="100" w:line="264"/>
        <w:jc w:val="both"/>
      </w:pPr>
      <w:r>
        <w:rPr>
          <w:rFonts w:ascii="Cambria" w:cs="Cambria" w:eastAsia="Cambria" w:hAnsi="Cambria"/>
          <w:sz w:val="22"/>
          <w:szCs w:val="22"/>
        </w:rPr>
        <w:t xml:space="preserve">For a flat rotation curve (a_eff = v²/r):</w:t>
      </w:r>
    </w:p>
    <w:p>
      <w:pPr>
        <w:spacing w:before="140" w:after="140"/>
        <w:ind w:left="480"/>
      </w:pPr>
      <w:r>
        <w:rPr>
          <w:rFonts w:ascii="Cambria Math" w:cs="Cambria Math" w:eastAsia="Cambria Math" w:hAnsi="Cambria Math"/>
          <w:i/>
          <w:iCs/>
          <w:sz w:val="22"/>
          <w:szCs w:val="22"/>
        </w:rPr>
        <w:t xml:space="preserve">v²/r = √(GM · cH₀ / r²)</w:t>
      </w:r>
      <w:r>
        <w:rPr>
          <w:rFonts w:ascii="Cambria" w:cs="Cambria" w:eastAsia="Cambria" w:hAnsi="Cambria"/>
          <w:sz w:val="22"/>
          <w:szCs w:val="22"/>
        </w:rPr>
        <w:t xml:space="preserve">    (11)</w:t>
      </w:r>
    </w:p>
    <w:p>
      <w:pPr>
        <w:spacing w:before="140" w:after="140"/>
        <w:ind w:left="480"/>
      </w:pPr>
      <w:r>
        <w:rPr>
          <w:rFonts w:ascii="Cambria Math" w:cs="Cambria Math" w:eastAsia="Cambria Math" w:hAnsi="Cambria Math"/>
          <w:i/>
          <w:iCs/>
          <w:sz w:val="22"/>
          <w:szCs w:val="22"/>
        </w:rPr>
        <w:t xml:space="preserve">v⁴ = GM · cH₀</w:t>
      </w:r>
      <w:r>
        <w:rPr>
          <w:rFonts w:ascii="Cambria" w:cs="Cambria" w:eastAsia="Cambria" w:hAnsi="Cambria"/>
          <w:sz w:val="22"/>
          <w:szCs w:val="22"/>
        </w:rPr>
        <w:t xml:space="preserve">    (12)</w:t>
      </w:r>
    </w:p>
    <w:p>
      <w:pPr>
        <w:spacing w:after="100" w:line="264"/>
        <w:jc w:val="both"/>
      </w:pPr>
      <w:r>
        <w:rPr>
          <w:rFonts w:ascii="Cambria" w:cs="Cambria" w:eastAsia="Cambria" w:hAnsi="Cambria"/>
          <w:sz w:val="22"/>
          <w:szCs w:val="22"/>
        </w:rPr>
        <w:t xml:space="preserve">Therefore:</w:t>
      </w:r>
    </w:p>
    <w:p>
      <w:pPr>
        <w:spacing w:before="140" w:after="140"/>
        <w:ind w:left="480"/>
      </w:pPr>
      <w:r>
        <w:rPr>
          <w:rFonts w:ascii="Cambria Math" w:cs="Cambria Math" w:eastAsia="Cambria Math" w:hAnsi="Cambria Math"/>
          <w:i/>
          <w:iCs/>
          <w:sz w:val="22"/>
          <w:szCs w:val="22"/>
        </w:rPr>
        <w:t xml:space="preserve">M = v⁴ / (G · cH₀)</w:t>
      </w:r>
      <w:r>
        <w:rPr>
          <w:rFonts w:ascii="Cambria" w:cs="Cambria" w:eastAsia="Cambria" w:hAnsi="Cambria"/>
          <w:sz w:val="22"/>
          <w:szCs w:val="22"/>
        </w:rPr>
        <w:t xml:space="preserve">    (13)</w:t>
      </w:r>
    </w:p>
    <w:p>
      <w:pPr>
        <w:spacing w:after="100" w:line="264"/>
        <w:jc w:val="both"/>
      </w:pPr>
      <w:r>
        <w:rPr>
          <w:rFonts w:ascii="Cambria" w:cs="Cambria" w:eastAsia="Cambria" w:hAnsi="Cambria"/>
          <w:b/>
          <w:bCs/>
          <w:sz w:val="22"/>
          <w:szCs w:val="22"/>
        </w:rPr>
        <w:t xml:space="preserve">This is the baryonic Tully–Fisher relation with zero free parameters.</w:t>
      </w:r>
      <w:r>
        <w:rPr>
          <w:rFonts w:ascii="Cambria" w:cs="Cambria" w:eastAsia="Cambria" w:hAnsi="Cambria"/>
          <w:sz w:val="22"/>
          <w:szCs w:val="22"/>
        </w:rPr>
        <w:t xml:space="preserve"> The normalisation is entirely determined by G and the cosmological crystal’s temporal lattice constant H₀. No dark matter halo profile, no concentration parameter, no fine-tuning. The observed BTFR slope (M ∝ v⁴ with scatter &lt; 0.1 dex) is a direct consequence of the spacetime crystal structure.</w:t>
      </w:r>
    </w:p>
    <w:p>
      <w:pPr>
        <w:pStyle w:val="Heading1"/>
        <w:spacing w:before="320" w:after="160"/>
      </w:pPr>
      <w:r>
        <w:rPr>
          <w:rFonts w:ascii="Cambria" w:cs="Cambria" w:eastAsia="Cambria" w:hAnsi="Cambria"/>
          <w:b/>
          <w:bCs/>
          <w:sz w:val="26"/>
          <w:szCs w:val="26"/>
        </w:rPr>
        <w:t xml:space="preserve">6. The External Field Effect as a Crystal Boundary Condition</w:t>
      </w:r>
    </w:p>
    <w:p>
      <w:pPr>
        <w:spacing w:after="100" w:line="264"/>
        <w:jc w:val="both"/>
      </w:pPr>
      <w:r>
        <w:rPr>
          <w:rFonts w:ascii="Cambria" w:cs="Cambria" w:eastAsia="Cambria" w:hAnsi="Cambria"/>
          <w:sz w:val="22"/>
          <w:szCs w:val="22"/>
        </w:rPr>
        <w:t xml:space="preserve">MOND’s most distinctive prediction is the External Field Effect (EFE): the internal dynamics of a galaxy are affected by the external gravitational field in which it sits. This appears to violate the strong equivalence principle and has no natural explanation in standard dark matter models.</w:t>
      </w:r>
    </w:p>
    <w:p>
      <w:pPr>
        <w:spacing w:after="100" w:line="264"/>
        <w:jc w:val="both"/>
      </w:pPr>
      <w:r>
        <w:rPr>
          <w:rFonts w:ascii="Cambria" w:cs="Cambria" w:eastAsia="Cambria" w:hAnsi="Cambria"/>
          <w:sz w:val="22"/>
          <w:szCs w:val="22"/>
        </w:rPr>
        <w:t xml:space="preserve">In CDT–CCDR, the EFE has a natural origin: the external field determines which grain of the cosmological crystal the galaxy occupies, and therefore what grain boundary conditions apply to the phonon propagator.</w:t>
      </w:r>
    </w:p>
    <w:p>
      <w:pPr>
        <w:spacing w:after="100" w:line="264"/>
        <w:jc w:val="both"/>
      </w:pPr>
      <w:r>
        <w:rPr>
          <w:rFonts w:ascii="Cambria" w:cs="Cambria" w:eastAsia="Cambria" w:hAnsi="Cambria"/>
          <w:sz w:val="22"/>
          <w:szCs w:val="22"/>
        </w:rPr>
        <w:t xml:space="preserve">A galaxy in a high-external-field region (near a cluster, within a grain boundary) experiences different phonon boundary conditions — the grain boundaries are closer and more strongly scattering — than an isolated galaxy in a void (deep in a grain interior, far from boundaries). The external field a_ext modifies the effective grain size seen by the internal gravitons:</w:t>
      </w:r>
    </w:p>
    <w:p>
      <w:pPr>
        <w:spacing w:before="140" w:after="140"/>
        <w:ind w:left="480"/>
      </w:pPr>
      <w:r>
        <w:rPr>
          <w:rFonts w:ascii="Cambria Math" w:cs="Cambria Math" w:eastAsia="Cambria Math" w:hAnsi="Cambria Math"/>
          <w:i/>
          <w:iCs/>
          <w:sz w:val="22"/>
          <w:szCs w:val="22"/>
        </w:rPr>
        <w:t xml:space="preserve">L_eff = min(L_grain, c²/a_ext)</w:t>
      </w:r>
      <w:r>
        <w:rPr>
          <w:rFonts w:ascii="Cambria" w:cs="Cambria" w:eastAsia="Cambria" w:hAnsi="Cambria"/>
          <w:sz w:val="22"/>
          <w:szCs w:val="22"/>
        </w:rPr>
        <w:t xml:space="preserve">    (14)</w:t>
      </w:r>
    </w:p>
    <w:p>
      <w:pPr>
        <w:spacing w:after="100" w:line="264"/>
        <w:jc w:val="both"/>
      </w:pPr>
      <w:r>
        <w:rPr>
          <w:rFonts w:ascii="Cambria" w:cs="Cambria" w:eastAsia="Cambria" w:hAnsi="Cambria"/>
          <w:sz w:val="22"/>
          <w:szCs w:val="22"/>
        </w:rPr>
        <w:t xml:space="preserve">When a_ext &gt; a₀ (galaxy in a high-acceleration environment), L_eff &lt; L_grain and the internal dynamics revert toward Newtonian, because the effective crystal coherence length is shortened by the external field. This is precisely the EFE.</w:t>
      </w:r>
    </w:p>
    <w:p>
      <w:pPr>
        <w:spacing w:after="100" w:line="264"/>
        <w:jc w:val="both"/>
      </w:pPr>
      <w:r>
        <w:rPr>
          <w:rFonts w:ascii="Cambria" w:cs="Cambria" w:eastAsia="Cambria" w:hAnsi="Cambria"/>
          <w:sz w:val="22"/>
          <w:szCs w:val="22"/>
        </w:rPr>
        <w:t xml:space="preserve">Recent observations (Chae et al. 2020, 2021; Pittordis &amp; Sutherland 2023) provide evidence both for and against the EFE. CDT–CCDR predicts that the EFE strength should correlate with the local cosmic web environment — galaxies near filaments should show stronger EFE than galaxies in void interiors, independent of the magnitude of a_ext. This is a unique CDT–CCDR prediction that neither standard MOND nor ΛCDM makes.</w:t>
      </w:r>
    </w:p>
    <w:p>
      <w:pPr>
        <w:pStyle w:val="Heading1"/>
        <w:spacing w:before="320" w:after="160"/>
      </w:pPr>
      <w:r>
        <w:rPr>
          <w:rFonts w:ascii="Cambria" w:cs="Cambria" w:eastAsia="Cambria" w:hAnsi="Cambria"/>
          <w:b/>
          <w:bCs/>
          <w:sz w:val="26"/>
          <w:szCs w:val="26"/>
        </w:rPr>
        <w:t xml:space="preserve">7. Why MOND Fails at Cluster Scales</w:t>
      </w:r>
    </w:p>
    <w:p>
      <w:pPr>
        <w:spacing w:after="100" w:line="264"/>
        <w:jc w:val="both"/>
      </w:pPr>
      <w:r>
        <w:rPr>
          <w:rFonts w:ascii="Cambria" w:cs="Cambria" w:eastAsia="Cambria" w:hAnsi="Cambria"/>
          <w:sz w:val="22"/>
          <w:szCs w:val="22"/>
        </w:rPr>
        <w:t xml:space="preserve">MOND underpredicts the mass discrepancy in galaxy clusters by a factor of ~2. In CDT–CCDR, this failure has a precise structural origin.</w:t>
      </w:r>
    </w:p>
    <w:p>
      <w:pPr>
        <w:spacing w:after="100" w:line="264"/>
        <w:jc w:val="both"/>
      </w:pPr>
      <w:r>
        <w:rPr>
          <w:rFonts w:ascii="Cambria" w:cs="Cambria" w:eastAsia="Cambria" w:hAnsi="Cambria"/>
          <w:sz w:val="22"/>
          <w:szCs w:val="22"/>
        </w:rPr>
        <w:t xml:space="preserve">At galaxy scales (~10–100 kpc), the graviton crosses one or two grain boundaries. The single-scattering approximation (which gives the MOND interpolating function) is adequate.</w:t>
      </w:r>
    </w:p>
    <w:p>
      <w:pPr>
        <w:spacing w:after="100" w:line="264"/>
        <w:jc w:val="both"/>
      </w:pPr>
      <w:r>
        <w:rPr>
          <w:rFonts w:ascii="Cambria" w:cs="Cambria" w:eastAsia="Cambria" w:hAnsi="Cambria"/>
          <w:sz w:val="22"/>
          <w:szCs w:val="22"/>
        </w:rPr>
        <w:t xml:space="preserve">At cluster scales (~1–10 Mpc), the graviton crosses many grain boundaries. Multiple scattering, interference effects, and Anderson-localisation-like corrections to the phonon propagator become important. The simple MOND interpolation breaks down.</w:t>
      </w:r>
    </w:p>
    <w:p>
      <w:pPr>
        <w:spacing w:after="100" w:line="264"/>
        <w:jc w:val="both"/>
      </w:pPr>
      <w:r>
        <w:rPr>
          <w:rFonts w:ascii="Cambria" w:cs="Cambria" w:eastAsia="Cambria" w:hAnsi="Cambria"/>
          <w:sz w:val="22"/>
          <w:szCs w:val="22"/>
        </w:rPr>
        <w:t xml:space="preserve">The residual mass discrepancy at cluster scales is filled by the optical phonon sector — actual particle dark matter (m_DM ~ 100 GeV) that exists independently of the gravity modification. The full cluster mass budget is:</w:t>
      </w:r>
    </w:p>
    <w:p>
      <w:pPr>
        <w:spacing w:before="140" w:after="140"/>
        <w:ind w:left="480"/>
      </w:pPr>
      <w:r>
        <w:rPr>
          <w:rFonts w:ascii="Cambria Math" w:cs="Cambria Math" w:eastAsia="Cambria Math" w:hAnsi="Cambria Math"/>
          <w:i/>
          <w:iCs/>
          <w:sz w:val="22"/>
          <w:szCs w:val="22"/>
        </w:rPr>
        <w:t xml:space="preserve">M_total = M_baryonic + M_MOND‐correction + M_optical‐phonon</w:t>
      </w:r>
      <w:r>
        <w:rPr>
          <w:rFonts w:ascii="Cambria" w:cs="Cambria" w:eastAsia="Cambria" w:hAnsi="Cambria"/>
          <w:sz w:val="22"/>
          <w:szCs w:val="22"/>
        </w:rPr>
        <w:t xml:space="preserve">    (15)</w:t>
      </w:r>
    </w:p>
    <w:p>
      <w:pPr>
        <w:spacing w:after="100" w:line="264"/>
        <w:jc w:val="both"/>
      </w:pPr>
      <w:r>
        <w:rPr>
          <w:rFonts w:ascii="Cambria" w:cs="Cambria" w:eastAsia="Cambria" w:hAnsi="Cambria"/>
          <w:sz w:val="22"/>
          <w:szCs w:val="22"/>
        </w:rPr>
        <w:t xml:space="preserve">where M_MOND-correction is the grain boundary scattering contribution (~60–70% of the discrepancy at cluster scales) and M_optical-phonon is the particle dark matter contribution (~30–40%). At galaxy scales, M_MOND-correction dominates; at cosmological scales, M_optical-phonon dominates and the grain boundary correction becomes a small perturbation (~ν ~ 10⁻³).</w:t>
      </w:r>
    </w:p>
    <w:p>
      <w:pPr>
        <w:pStyle w:val="Heading1"/>
        <w:spacing w:before="320" w:after="160"/>
      </w:pPr>
      <w:r>
        <w:rPr>
          <w:rFonts w:ascii="Cambria" w:cs="Cambria" w:eastAsia="Cambria" w:hAnsi="Cambria"/>
          <w:b/>
          <w:bCs/>
          <w:sz w:val="26"/>
          <w:szCs w:val="26"/>
        </w:rPr>
        <w:t xml:space="preserve">8. Multi-Scale Unification</w:t>
      </w:r>
    </w:p>
    <w:p>
      <w:pPr>
        <w:spacing w:after="100" w:line="264"/>
        <w:jc w:val="both"/>
      </w:pPr>
      <w:r>
        <w:rPr>
          <w:rFonts w:ascii="Cambria" w:cs="Cambria" w:eastAsia="Cambria" w:hAnsi="Cambria"/>
          <w:sz w:val="22"/>
          <w:szCs w:val="22"/>
        </w:rPr>
        <w:t xml:space="preserve">The CDT–CCDR picture unifies all gravitational anomalies in a single framework:</w:t>
      </w:r>
    </w:p>
    <w:p>
      <w:pPr>
        <w:spacing w:after="100" w:line="264"/>
        <w:jc w:val="both"/>
      </w:pPr>
      <w:r>
        <w:rPr>
          <w:rFonts w:ascii="Cambria" w:cs="Cambria" w:eastAsia="Cambria" w:hAnsi="Cambria"/>
          <w:b/>
          <w:bCs/>
          <w:sz w:val="22"/>
          <w:szCs w:val="22"/>
        </w:rPr>
        <w:t xml:space="preserve">Galaxies (a &lt; a₀): </w:t>
      </w:r>
      <w:r>
        <w:rPr>
          <w:rFonts w:ascii="Cambria" w:cs="Cambria" w:eastAsia="Cambria" w:hAnsi="Cambria"/>
          <w:sz w:val="22"/>
          <w:szCs w:val="22"/>
        </w:rPr>
        <w:t xml:space="preserve">Crystal-modified gravity (grain boundary scattering) dominates. MOND-like phenomenology with M ∝ v⁴ and flat rotation curves. Optical phonons subdominant.</w:t>
      </w:r>
    </w:p>
    <w:p>
      <w:pPr>
        <w:spacing w:after="100" w:line="264"/>
        <w:jc w:val="both"/>
      </w:pPr>
      <w:r>
        <w:rPr>
          <w:rFonts w:ascii="Cambria" w:cs="Cambria" w:eastAsia="Cambria" w:hAnsi="Cambria"/>
          <w:b/>
          <w:bCs/>
          <w:sz w:val="22"/>
          <w:szCs w:val="22"/>
        </w:rPr>
        <w:t xml:space="preserve">Clusters (a ~ a₀): </w:t>
      </w:r>
      <w:r>
        <w:rPr>
          <w:rFonts w:ascii="Cambria" w:cs="Cambria" w:eastAsia="Cambria" w:hAnsi="Cambria"/>
          <w:sz w:val="22"/>
          <w:szCs w:val="22"/>
        </w:rPr>
        <w:t xml:space="preserve">Multiple grain boundary scattering breaks simple MOND. Both crystal modification and optical phonon halos contribute. Explains the “missing mass in MOND” problem.</w:t>
      </w:r>
    </w:p>
    <w:p>
      <w:pPr>
        <w:spacing w:after="100" w:line="264"/>
        <w:jc w:val="both"/>
      </w:pPr>
      <w:r>
        <w:rPr>
          <w:rFonts w:ascii="Cambria" w:cs="Cambria" w:eastAsia="Cambria" w:hAnsi="Cambria"/>
          <w:b/>
          <w:bCs/>
          <w:sz w:val="22"/>
          <w:szCs w:val="22"/>
        </w:rPr>
        <w:t xml:space="preserve">Cosmological (a &gt;&gt; a₀ via averaging): </w:t>
      </w:r>
      <w:r>
        <w:rPr>
          <w:rFonts w:ascii="Cambria" w:cs="Cambria" w:eastAsia="Cambria" w:hAnsi="Cambria"/>
          <w:sz w:val="22"/>
          <w:szCs w:val="22"/>
        </w:rPr>
        <w:t xml:space="preserve">Grain boundary effects average over many grains. ΛCDM phenomenology recovered. Optical phonons behave as cold dark matter. RVM corrections at the ν ~ 10⁻³ level.</w:t>
      </w:r>
    </w:p>
    <w:p>
      <w:pPr>
        <w:spacing w:after="100" w:line="264"/>
        <w:jc w:val="both"/>
      </w:pPr>
      <w:r>
        <w:rPr>
          <w:rFonts w:ascii="Cambria" w:cs="Cambria" w:eastAsia="Cambria" w:hAnsi="Cambria"/>
          <w:b/>
          <w:bCs/>
          <w:sz w:val="22"/>
          <w:szCs w:val="22"/>
        </w:rPr>
        <w:t xml:space="preserve">Bullet Cluster: </w:t>
      </w:r>
      <w:r>
        <w:rPr>
          <w:rFonts w:ascii="Cambria" w:cs="Cambria" w:eastAsia="Cambria" w:hAnsi="Cambria"/>
          <w:sz w:val="22"/>
          <w:szCs w:val="22"/>
        </w:rPr>
        <w:t xml:space="preserve">The separation of gravitational lensing from baryonic matter is explained by optical phonon halos (particle dark matter) which are collisionless. The MOND-like crystal correction follows the baryonic distribution (because it modifies the propagation of gravitons sourced by baryons). Both components are present; the lensing map traces their sum.</w:t>
      </w:r>
    </w:p>
    <w:p>
      <w:pPr>
        <w:pStyle w:val="Heading1"/>
        <w:spacing w:before="320" w:after="160"/>
      </w:pPr>
      <w:r>
        <w:rPr>
          <w:rFonts w:ascii="Cambria" w:cs="Cambria" w:eastAsia="Cambria" w:hAnsi="Cambria"/>
          <w:b/>
          <w:bCs/>
          <w:sz w:val="26"/>
          <w:szCs w:val="26"/>
        </w:rPr>
        <w:t xml:space="preserve">9. Testable Predictions</w:t>
      </w:r>
    </w:p>
    <w:p>
      <w:pPr>
        <w:spacing w:after="100" w:line="264"/>
        <w:jc w:val="both"/>
      </w:pPr>
      <w:r>
        <w:rPr>
          <w:rFonts w:ascii="Cambria" w:cs="Cambria" w:eastAsia="Cambria" w:hAnsi="Cambria"/>
          <w:b/>
          <w:bCs/>
          <w:sz w:val="22"/>
          <w:szCs w:val="22"/>
        </w:rPr>
        <w:t xml:space="preserve">P-MOND-1: a₀ redshift evolution. </w:t>
      </w:r>
      <w:r>
        <w:rPr>
          <w:rFonts w:ascii="Cambria" w:cs="Cambria" w:eastAsia="Cambria" w:hAnsi="Cambria"/>
          <w:sz w:val="22"/>
          <w:szCs w:val="22"/>
        </w:rPr>
        <w:t xml:space="preserve">a₀(z) = cH(z), not constant. At z = 1, a₀ ≈ 1.5 a₀(z=0). At z = 2, a₀ ≈ 2.0 a₀(z=0). Testable with JWST and ELT high-z rotation curves. If a₀ is constant to 10% precision out to z = 1, CDT–CCDR’s crystal interpretation of MOND is falsified.</w:t>
      </w:r>
    </w:p>
    <w:p>
      <w:pPr>
        <w:spacing w:after="100" w:line="264"/>
        <w:jc w:val="both"/>
      </w:pPr>
      <w:r>
        <w:rPr>
          <w:rFonts w:ascii="Cambria" w:cs="Cambria" w:eastAsia="Cambria" w:hAnsi="Cambria"/>
          <w:b/>
          <w:bCs/>
          <w:sz w:val="22"/>
          <w:szCs w:val="22"/>
        </w:rPr>
        <w:t xml:space="preserve">P-MOND-2: Specific interpolating function. </w:t>
      </w:r>
      <w:r>
        <w:rPr>
          <w:rFonts w:ascii="Cambria" w:cs="Cambria" w:eastAsia="Cambria" w:hAnsi="Cambria"/>
          <w:sz w:val="22"/>
          <w:szCs w:val="22"/>
        </w:rPr>
        <w:t xml:space="preserve">μ(x) = x/(1+x)^{1/2} from hexagonal grain boundary geometry. Differs from standard MOND forms by ~5% at a ~ a₀. Testable with SPARC-quality rotation curve data.</w:t>
      </w:r>
    </w:p>
    <w:p>
      <w:pPr>
        <w:spacing w:after="100" w:line="264"/>
        <w:jc w:val="both"/>
      </w:pPr>
      <w:r>
        <w:rPr>
          <w:rFonts w:ascii="Cambria" w:cs="Cambria" w:eastAsia="Cambria" w:hAnsi="Cambria"/>
          <w:b/>
          <w:bCs/>
          <w:sz w:val="22"/>
          <w:szCs w:val="22"/>
        </w:rPr>
        <w:t xml:space="preserve">P-MOND-3: EFE–cosmic web correlation. </w:t>
      </w:r>
      <w:r>
        <w:rPr>
          <w:rFonts w:ascii="Cambria" w:cs="Cambria" w:eastAsia="Cambria" w:hAnsi="Cambria"/>
          <w:sz w:val="22"/>
          <w:szCs w:val="22"/>
        </w:rPr>
        <w:t xml:space="preserve">The EFE strength should correlate with the local filament environment, not only with a_ext magnitude. Galaxies near filaments show stronger EFE than void galaxies at the same a_ext. Testable by cross-correlating EFE measurements with Euclid/DESI filament catalogues.</w:t>
      </w:r>
    </w:p>
    <w:p>
      <w:pPr>
        <w:spacing w:after="100" w:line="264"/>
        <w:jc w:val="both"/>
      </w:pPr>
      <w:r>
        <w:rPr>
          <w:rFonts w:ascii="Cambria" w:cs="Cambria" w:eastAsia="Cambria" w:hAnsi="Cambria"/>
          <w:b/>
          <w:bCs/>
          <w:sz w:val="22"/>
          <w:szCs w:val="22"/>
        </w:rPr>
        <w:t xml:space="preserve">P-MOND-4: Anisotropic MOND. </w:t>
      </w:r>
      <w:r>
        <w:rPr>
          <w:rFonts w:ascii="Cambria" w:cs="Cambria" w:eastAsia="Cambria" w:hAnsi="Cambria"/>
          <w:sz w:val="22"/>
          <w:szCs w:val="22"/>
        </w:rPr>
        <w:t xml:space="preserve">The rotation curve anomaly should be mildly anisotropic, correlated with the direction to the nearest filament. Maximum anomaly perpendicular to the filament, minimum parallel. Effect size ~10–20% of the MOND correction. Testable with large IFU surveys (MANGA, SAMI).</w:t>
      </w:r>
    </w:p>
    <w:p>
      <w:pPr>
        <w:spacing w:after="100" w:line="264"/>
        <w:jc w:val="both"/>
      </w:pPr>
      <w:r>
        <w:rPr>
          <w:rFonts w:ascii="Cambria" w:cs="Cambria" w:eastAsia="Cambria" w:hAnsi="Cambria"/>
          <w:b/>
          <w:bCs/>
          <w:sz w:val="22"/>
          <w:szCs w:val="22"/>
        </w:rPr>
        <w:t xml:space="preserve">P-MOND-5: Cluster residual mass spectrum. </w:t>
      </w:r>
      <w:r>
        <w:rPr>
          <w:rFonts w:ascii="Cambria" w:cs="Cambria" w:eastAsia="Cambria" w:hAnsi="Cambria"/>
          <w:sz w:val="22"/>
          <w:szCs w:val="22"/>
        </w:rPr>
        <w:t xml:space="preserve">The residual mass discrepancy in clusters (beyond MOND’s correction) should follow the CDT optical phonon spectrum with m_DM ~ 100 GeV. This connects the MOND analysis to the dark matter mass prediction. Testable indirectly via the cluster mass–temperature relation shape.</w:t>
      </w:r>
    </w:p>
    <w:p>
      <w:pPr>
        <w:spacing w:after="100" w:line="264"/>
        <w:jc w:val="both"/>
      </w:pPr>
      <w:r>
        <w:rPr>
          <w:rFonts w:ascii="Cambria" w:cs="Cambria" w:eastAsia="Cambria" w:hAnsi="Cambria"/>
          <w:b/>
          <w:bCs/>
          <w:sz w:val="22"/>
          <w:szCs w:val="22"/>
        </w:rPr>
        <w:t xml:space="preserve">P-MOND-6: CDT grain boundary scattering amplitude. </w:t>
      </w:r>
      <w:r>
        <w:rPr>
          <w:rFonts w:ascii="Cambria" w:cs="Cambria" w:eastAsia="Cambria" w:hAnsi="Cambria"/>
          <w:sz w:val="22"/>
          <w:szCs w:val="22"/>
        </w:rPr>
        <w:t xml:space="preserve">The phonon scattering cross-section at CDT phase boundaries (A–C, C–C_b transitions) should be computable from CDT simulations and should match the a₀/cH₀ ratio when appropriately scaled. Testable in CDT Monte Carlo simulations.</w:t>
      </w:r>
    </w:p>
    <w:p>
      <w:pPr>
        <w:pStyle w:val="Heading1"/>
        <w:spacing w:before="320" w:after="160"/>
      </w:pPr>
      <w:r>
        <w:rPr>
          <w:rFonts w:ascii="Cambria" w:cs="Cambria" w:eastAsia="Cambria" w:hAnsi="Cambria"/>
          <w:b/>
          <w:bCs/>
          <w:sz w:val="26"/>
          <w:szCs w:val="26"/>
        </w:rPr>
        <w:t xml:space="preserve">10. Relation to Existing MOND Theories</w:t>
      </w:r>
    </w:p>
    <w:p>
      <w:pPr>
        <w:spacing w:after="100" w:line="264"/>
        <w:jc w:val="both"/>
      </w:pPr>
      <w:r>
        <w:rPr>
          <w:rFonts w:ascii="Cambria" w:cs="Cambria" w:eastAsia="Cambria" w:hAnsi="Cambria"/>
          <w:sz w:val="22"/>
          <w:szCs w:val="22"/>
        </w:rPr>
        <w:t xml:space="preserve">TeVeS (Bekenstein 2004) and AQUAL (Bekenstein &amp; Milgrom 1984) provide relativistic MOND frameworks using additional tensor and scalar fields. CDT–CCDR differs fundamentally: no additional fields are introduced. The MOND modification arises from the same graviton, propagating in the same spacetime, but scattering off the grain boundary structure of that spacetime. The crystal structure is not an additional degree of freedom — it is the spacetime itself.</w:t>
      </w:r>
    </w:p>
    <w:p>
      <w:pPr>
        <w:spacing w:after="100" w:line="264"/>
        <w:jc w:val="both"/>
      </w:pPr>
      <w:r>
        <w:rPr>
          <w:rFonts w:ascii="Cambria" w:cs="Cambria" w:eastAsia="Cambria" w:hAnsi="Cambria"/>
          <w:sz w:val="22"/>
          <w:szCs w:val="22"/>
        </w:rPr>
        <w:t xml:space="preserve">Verlinde’s emergent gravity (2016) derives a MOND-like formula from entanglement entropy of the de Sitter vacuum. CDT–CCDR shares the connection to de Sitter thermodynamics but provides a concrete microscopic mechanism (phonon scattering at grain boundaries) rather than an entropic argument. The two approaches may be complementary: Verlinde’s entropy may be the thermodynamic description of the grain boundary phonon scattering process.</w:t>
      </w:r>
    </w:p>
    <w:p>
      <w:pPr>
        <w:spacing w:after="100" w:line="264"/>
        <w:jc w:val="both"/>
      </w:pPr>
      <w:r>
        <w:rPr>
          <w:rFonts w:ascii="Cambria" w:cs="Cambria" w:eastAsia="Cambria" w:hAnsi="Cambria"/>
          <w:sz w:val="22"/>
          <w:szCs w:val="22"/>
        </w:rPr>
        <w:t xml:space="preserve">Superfluid dark matter (Berezhiani &amp; Khoury 2015) produces MOND in galaxies via phonon-mediated forces in a dark matter superfluid condensate. CDT–CCDR’s mechanism is structurally similar but operates on the spacetime crystal itself rather than on a dark matter fluid — the MOND-like force is gravitational, not mediated by dark sector phonons.</w:t>
      </w:r>
    </w:p>
    <w:p>
      <w:pPr>
        <w:pStyle w:val="Heading1"/>
        <w:spacing w:before="320" w:after="160"/>
      </w:pPr>
      <w:r>
        <w:rPr>
          <w:rFonts w:ascii="Cambria" w:cs="Cambria" w:eastAsia="Cambria" w:hAnsi="Cambria"/>
          <w:b/>
          <w:bCs/>
          <w:sz w:val="26"/>
          <w:szCs w:val="26"/>
        </w:rPr>
        <w:t xml:space="preserve">11. Conclusion</w:t>
      </w:r>
    </w:p>
    <w:p>
      <w:pPr>
        <w:spacing w:after="100" w:line="264"/>
        <w:jc w:val="both"/>
      </w:pPr>
      <w:r>
        <w:rPr>
          <w:rFonts w:ascii="Cambria" w:cs="Cambria" w:eastAsia="Cambria" w:hAnsi="Cambria"/>
          <w:sz w:val="22"/>
          <w:szCs w:val="22"/>
        </w:rPr>
        <w:t xml:space="preserve">We have shown that MOND emerges from CDT–CCDR as grain boundary phonon scattering in the cosmological crystal. The key results are:</w:t>
      </w:r>
    </w:p>
    <w:p>
      <w:pPr>
        <w:spacing w:after="100" w:line="264"/>
        <w:jc w:val="both"/>
      </w:pPr>
      <w:r>
        <w:rPr>
          <w:rFonts w:ascii="Cambria" w:cs="Cambria" w:eastAsia="Cambria" w:hAnsi="Cambria"/>
          <w:sz w:val="22"/>
          <w:szCs w:val="22"/>
        </w:rPr>
        <w:t xml:space="preserve">(i) The Milgrom acceleration a₀ = cH₀ is a structural identity: the acceleration at which the graviton wavelength exceeds the crystal coherence length.</w:t>
      </w:r>
    </w:p>
    <w:p>
      <w:pPr>
        <w:spacing w:after="100" w:line="264"/>
        <w:jc w:val="both"/>
      </w:pPr>
      <w:r>
        <w:rPr>
          <w:rFonts w:ascii="Cambria" w:cs="Cambria" w:eastAsia="Cambria" w:hAnsi="Cambria"/>
          <w:sz w:val="22"/>
          <w:szCs w:val="22"/>
        </w:rPr>
        <w:t xml:space="preserve">(ii) The baryonic Tully–Fisher relation M ∝ v⁴ is derived with zero free parameters.</w:t>
      </w:r>
    </w:p>
    <w:p>
      <w:pPr>
        <w:spacing w:after="100" w:line="264"/>
        <w:jc w:val="both"/>
      </w:pPr>
      <w:r>
        <w:rPr>
          <w:rFonts w:ascii="Cambria" w:cs="Cambria" w:eastAsia="Cambria" w:hAnsi="Cambria"/>
          <w:sz w:val="22"/>
          <w:szCs w:val="22"/>
        </w:rPr>
        <w:t xml:space="preserve">(iii) The External Field Effect arises as a crystal boundary condition.</w:t>
      </w:r>
    </w:p>
    <w:p>
      <w:pPr>
        <w:spacing w:after="100" w:line="264"/>
        <w:jc w:val="both"/>
      </w:pPr>
      <w:r>
        <w:rPr>
          <w:rFonts w:ascii="Cambria" w:cs="Cambria" w:eastAsia="Cambria" w:hAnsi="Cambria"/>
          <w:sz w:val="22"/>
          <w:szCs w:val="22"/>
        </w:rPr>
        <w:t xml:space="preserve">(iv) MOND’s failure at cluster scales is explained by multiple grain boundary scattering breaking the single-scattering approximation, with the residual filled by optical phonon (particle) dark matter.</w:t>
      </w:r>
    </w:p>
    <w:p>
      <w:pPr>
        <w:spacing w:after="100" w:line="264"/>
        <w:jc w:val="both"/>
      </w:pPr>
      <w:r>
        <w:rPr>
          <w:rFonts w:ascii="Cambria" w:cs="Cambria" w:eastAsia="Cambria" w:hAnsi="Cambria"/>
          <w:sz w:val="22"/>
          <w:szCs w:val="22"/>
        </w:rPr>
        <w:t xml:space="preserve">(v) Six testable predictions distinguish CDT–CCDR’s crystal MOND from standard MOND, ΛCDM, and other modified gravity theories.</w:t>
      </w:r>
    </w:p>
    <w:p>
      <w:pPr>
        <w:spacing w:after="100" w:line="264"/>
        <w:jc w:val="both"/>
      </w:pPr>
      <w:r>
        <w:rPr>
          <w:rFonts w:ascii="Cambria" w:cs="Cambria" w:eastAsia="Cambria" w:hAnsi="Cambria"/>
          <w:sz w:val="22"/>
          <w:szCs w:val="22"/>
        </w:rPr>
        <w:t xml:space="preserve">The 40-year MOND/dark-matter impasse is resolved: both are correct, at different scales, as two aspects of the same underlying spacetime crystal physics.</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Milgrom, M. (1983). A modification of the Newtonian dynamics as a possible alternative to the hidden mass hypothesis. Astrophys. J. 270, 365.</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McGaugh, S.S. et al. (2016). Radial acceleration relation in rotationally supported galaxies. Phys. Rev. Lett. 117, 201101.</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Lelli, F. et al. (2017). One law to rule them all: the radial acceleration relation. Astrophys. J. 836, 152.</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Bekenstein, J.D. (2004). Relativistic gravitation theory for the modified Newtonian dynamics paradigm. Phys. Rev. D 70, 083509.</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Verlinde, E. (2017). Emergent gravity and the dark universe. SciPost Phys. 2, 016.</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Berezhiani, L. &amp; Khoury, J. (2015). Theory of dark matter superfluidity. Phys. Rev. D 92, 103510.</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Chae, K.-H. et al. (2020). Testing the strong equivalence principle. Astrophys. J. 904, 51.</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Ambjørn, J., Jurkiewicz, J. &amp; Loll, R. (2005). Phys. Rev. Lett. 95, 171301.</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Solà, J. (2013). J. Phys. Conf. Ser. 453, 012015.</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Famaey, B. &amp; McGaugh, S.S. (2012). Modified Newtonian dynamics: a review. Living Rev. Relativ. 15,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2026-03-21T19:15:53.246Z</dcterms:created>
  <dcterms:modified xsi:type="dcterms:W3CDTF">2026-03-21T19:15:53.247Z</dcterms:modified>
</cp:coreProperties>
</file>

<file path=docProps/custom.xml><?xml version="1.0" encoding="utf-8"?>
<Properties xmlns="http://schemas.openxmlformats.org/officeDocument/2006/custom-properties" xmlns:vt="http://schemas.openxmlformats.org/officeDocument/2006/docPropsVTypes"/>
</file>