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MOND як розсіювання фононів на межах зерен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космологічного кристалу: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Вирішення протиріччя MOND/темна матерія через CDT–CCDR</w:t>
      </w:r>
    </w:p>
    <w:p>
      <w:pPr>
        <w:spacing w:after="40"/>
      </w:pP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Виведення прискорення Мілгрома, баріонного співвідношення Таллі–Фішера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та зовнішньопольового ефекту з фононної динаміки просторово-часового кристалу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показуємо, що модифікована ньютонівська динаміка (MOND) природно виникає з рамки CDT–CCDR як розсіювання фононів на межах зерен космологічного кристалу. Гравітон — акустичний фонон просторово-часової ґратки — вільно поширюється в зернах-войдах (ньютонівський режим), але розсіюється на філаментних межах зерен, коли гравітаційне прискорення падає нижче a₀ = cH₀ ≈ 1.2 × 10⁻¹⁰ м/с²: прискорення, при якому довжина хвилі гравітона перевищує когерентну довжину кристалу. Збіг a₀ ≈ cH₀ — не випадковість, а структурна тотожність. Ми виводимо баріонне співвідношення Таллі–Фішера M ∝ v⁴ з нульовою кількістю вільних параметрів, передбачаємо еволюцію a₀(z) = cH(z) (тестується JWST/ELT), виводимо специфічну інтерполяційну функцію та показуємо, що зовнішньопольовий ефект виникає як гранична умова кристалу. 40-річне протиріччя MOND/темна матерія вирішено: MOND — низькоприскорювальна межа кристально-модифікованої гравітації, а часткова темна матерія (оптичні фонони) домінує на масштабах скупчень.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Вступ: тупик MOND/темна матерія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Мілгром (1983) спостеріг, що ньютонівська гравітація порушується в галактиках нижче критичного прискорення a₀ ≈ 1.2 × 10⁻¹⁰ м/с², і що заміна F = ma на F = ma²/a₀ відтворює криві обертання, баріонне співвідношення Таллі–Фішера (M ∝ v⁴), співвідношення маса-дискрепанція-прискорення — все без темної матерії. Жодна модель часткової темної матерії не вивела ці співвідношення з перших принципів.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Водночас MOND катастрофічно провалюється на масштабах скупчень та в космології. ΛCDM успішна саме там, де MOND провалюється. Критичний невирішений збіг: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a₀ ≈ cH₀ ≈ 1.2 × 10⁻¹⁰ м/с²</w:t>
      </w:r>
      <w:r>
        <w:rPr>
          <w:rFonts w:ascii="Cambria" w:cs="Cambria" w:eastAsia="Cambria" w:hAnsi="Cambria"/>
          <w:sz w:val="22"/>
          <w:szCs w:val="22"/>
        </w:rPr>
        <w:t xml:space="preserve">    (1)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Кристалічна структура CDT–CCDR: огляд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Всесвіт — просторово-часовий кристал з r* ≈ 147 Мпк та T* ~ 10¹¹ років. Полікристалічний: войди — зерна, філаменти — межі зерен, вузли скупчень — потрійні дислокації. Гравітон — акустичний фонон CDT ґратки. Темна матерія — оптичний фононний сектор (m_DM ~ 100 ГеВ).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Критичне прискорення як когерентний масштаб кристалу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3.1 Два режими поширення фононів у полікристалі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Внутрішньозернистий: </w:t>
      </w:r>
      <w:r>
        <w:rPr>
          <w:rFonts w:ascii="Cambria" w:cs="Cambria" w:eastAsia="Cambria" w:hAnsi="Cambria"/>
          <w:sz w:val="22"/>
          <w:szCs w:val="22"/>
        </w:rPr>
        <w:t xml:space="preserve">λ &lt;&lt; L_grain — фонон поширюється як у досконалому кристалі. Ньютонівська гравітація.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Міжзернистий: </w:t>
      </w:r>
      <w:r>
        <w:rPr>
          <w:rFonts w:ascii="Cambria" w:cs="Cambria" w:eastAsia="Cambria" w:hAnsi="Cambria"/>
          <w:sz w:val="22"/>
          <w:szCs w:val="22"/>
        </w:rPr>
        <w:t xml:space="preserve">λ ≥ L_grain — фонон розсіюється на межах зерен. Модифікована гравітація.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k_grain = 2π / L_grain</w:t>
      </w:r>
      <w:r>
        <w:rPr>
          <w:rFonts w:ascii="Cambria" w:cs="Cambria" w:eastAsia="Cambria" w:hAnsi="Cambria"/>
          <w:sz w:val="22"/>
          <w:szCs w:val="22"/>
        </w:rPr>
        <w:t xml:space="preserve">    (2)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3.2 Ідентифікація a₀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Для космологічного кристалу L_grain ~ c/H₀ ≈ 4.4 Гпк. Гравітаційна довжина хвилі λ_grav = c²/a. Перехід при λ_grav = L_grain: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c²/a₀ = c/H₀, отже a₀ = cH₀</w:t>
      </w:r>
      <w:r>
        <w:rPr>
          <w:rFonts w:ascii="Cambria" w:cs="Cambria" w:eastAsia="Cambria" w:hAnsi="Cambria"/>
          <w:sz w:val="22"/>
          <w:szCs w:val="22"/>
        </w:rPr>
        <w:t xml:space="preserve">    (4)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Це центральний результат: a₀ = cH₀ — структурна тотожність.</w:t>
      </w:r>
      <w:r>
        <w:rPr>
          <w:rFonts w:ascii="Cambria" w:cs="Cambria" w:eastAsia="Cambria" w:hAnsi="Cambria"/>
          <w:sz w:val="22"/>
          <w:szCs w:val="22"/>
        </w:rPr>
        <w:t xml:space="preserve"> Обидві величини задані часовою сталою ґратки космологічного кристалу.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Модифікований пропагатор гравітона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G(k) = 1/(k² + μ²(k))</w:t>
      </w:r>
      <w:r>
        <w:rPr>
          <w:rFonts w:ascii="Cambria" w:cs="Cambria" w:eastAsia="Cambria" w:hAnsi="Cambria"/>
          <w:sz w:val="22"/>
          <w:szCs w:val="22"/>
        </w:rPr>
        <w:t xml:space="preserve">    (5)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Для k &gt;&gt; k_grain: μ² ≈ 0, ньютонівський. Для k &lt;&lt; k_grain: μ²(k) ~ k · k_grain.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G(k) ~ 1/(k(k + k_grain))</w:t>
      </w:r>
      <w:r>
        <w:rPr>
          <w:rFonts w:ascii="Cambria" w:cs="Cambria" w:eastAsia="Cambria" w:hAnsi="Cambria"/>
          <w:sz w:val="22"/>
          <w:szCs w:val="22"/>
        </w:rPr>
        <w:t xml:space="preserve">    (7)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У координатному просторі: Φ(r) переходить від −GM/r (Ньютон) до −√(GMa₀) ln(r) (MOND). Логарифмічний потенціал дає плоску криву обертання.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4.1 Інтерполяційна функція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μ(x) = x / (1 + x)^{1/2}</w:t>
      </w:r>
      <w:r>
        <w:rPr>
          <w:rFonts w:ascii="Cambria" w:cs="Cambria" w:eastAsia="Cambria" w:hAnsi="Cambria"/>
          <w:sz w:val="22"/>
          <w:szCs w:val="22"/>
        </w:rPr>
        <w:t xml:space="preserve">    (9)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Специфічне передбачення від гексагональної геометрії межі зерна. Відрізняється від стандартної форми MOND на ~5% при a ~ a₀.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Виведення баріонного співвідношення Таллі–Фішера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a_eff = √(a_N · a₀) = √(GM/r² · cH₀)</w:t>
      </w:r>
      <w:r>
        <w:rPr>
          <w:rFonts w:ascii="Cambria" w:cs="Cambria" w:eastAsia="Cambria" w:hAnsi="Cambria"/>
          <w:sz w:val="22"/>
          <w:szCs w:val="22"/>
        </w:rPr>
        <w:t xml:space="preserve">    (10)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v⁴ = GM · cH₀</w:t>
      </w:r>
      <w:r>
        <w:rPr>
          <w:rFonts w:ascii="Cambria" w:cs="Cambria" w:eastAsia="Cambria" w:hAnsi="Cambria"/>
          <w:sz w:val="22"/>
          <w:szCs w:val="22"/>
        </w:rPr>
        <w:t xml:space="preserve">    (12)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 = v⁴ / (G · cH₀)</w:t>
      </w:r>
      <w:r>
        <w:rPr>
          <w:rFonts w:ascii="Cambria" w:cs="Cambria" w:eastAsia="Cambria" w:hAnsi="Cambria"/>
          <w:sz w:val="22"/>
          <w:szCs w:val="22"/>
        </w:rPr>
        <w:t xml:space="preserve">    (13)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Баріонне співвідношення Таллі–Фішера з нульовою кількістю вільних параметрів.</w:t>
      </w:r>
      <w:r>
        <w:rPr>
          <w:rFonts w:ascii="Cambria" w:cs="Cambria" w:eastAsia="Cambria" w:hAnsi="Cambria"/>
          <w:sz w:val="22"/>
          <w:szCs w:val="22"/>
        </w:rPr>
        <w:t xml:space="preserve"> Нормування повністю визначене G та H₀.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Зовнішньопольовий ефект як гранична умова кристалу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Зовнішнє поле визначає, в якому зерні знаходиться галактика, і тому які граничні умови для фононного пропагатора застосовуються.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L_eff = min(L_grain, c²/a_ext)</w:t>
      </w:r>
      <w:r>
        <w:rPr>
          <w:rFonts w:ascii="Cambria" w:cs="Cambria" w:eastAsia="Cambria" w:hAnsi="Cambria"/>
          <w:sz w:val="22"/>
          <w:szCs w:val="22"/>
        </w:rPr>
        <w:t xml:space="preserve">    (14)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Коли a_ext &gt; a₀ — ефективна когерентна довжина скорочується, внутрішня динаміка повертається до ньютонівської. Передбачення CDT–CCDR: сила ЗПЕ має корелювати з локальним середовищем космічної павутини.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Чому MOND провалюється на масштабах скупчень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На масштабах галактик (~10–100 кпк): гравітон перетинає 1–2 межі зерен. Наближення одноразового розсіювання (MOND) адекватне.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На масштабах скупчень (~1–10 Мпк): гравітон перетинає багато меж. Множинне розсіювання, інтерференція та андерсонівська локалізація порушують простий MOND.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M_total = M_baryonic + M_{MOND} + M_{opt.phonon}</w:t>
      </w:r>
      <w:r>
        <w:rPr>
          <w:rFonts w:ascii="Cambria" w:cs="Cambria" w:eastAsia="Cambria" w:hAnsi="Cambria"/>
          <w:sz w:val="22"/>
          <w:szCs w:val="22"/>
        </w:rPr>
        <w:t xml:space="preserve">    (15)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На масштабах галактик домінує M_MOND; на масштабах скупчень — M_opt.phonon.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Багатомасштабне об'єднання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Галактики (a &lt; a₀): </w:t>
      </w:r>
      <w:r>
        <w:rPr>
          <w:rFonts w:ascii="Cambria" w:cs="Cambria" w:eastAsia="Cambria" w:hAnsi="Cambria"/>
          <w:sz w:val="22"/>
          <w:szCs w:val="22"/>
        </w:rPr>
        <w:t xml:space="preserve">Кристально-модифікована гравітація домінує. MOND-подібна феноменологія.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Скупчення (a ~ a₀): </w:t>
      </w:r>
      <w:r>
        <w:rPr>
          <w:rFonts w:ascii="Cambria" w:cs="Cambria" w:eastAsia="Cambria" w:hAnsi="Cambria"/>
          <w:sz w:val="22"/>
          <w:szCs w:val="22"/>
        </w:rPr>
        <w:t xml:space="preserve">Множинне розсіювання ламає простий MOND. Обидва внески.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Космологічні (усереднення): </w:t>
      </w:r>
      <w:r>
        <w:rPr>
          <w:rFonts w:ascii="Cambria" w:cs="Cambria" w:eastAsia="Cambria" w:hAnsi="Cambria"/>
          <w:sz w:val="22"/>
          <w:szCs w:val="22"/>
        </w:rPr>
        <w:t xml:space="preserve">ΛCDM відновлена. Оптичні фонони = холодна темна матерія.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Bullet Cluster: </w:t>
      </w:r>
      <w:r>
        <w:rPr>
          <w:rFonts w:ascii="Cambria" w:cs="Cambria" w:eastAsia="Cambria" w:hAnsi="Cambria"/>
          <w:sz w:val="22"/>
          <w:szCs w:val="22"/>
        </w:rPr>
        <w:t xml:space="preserve">Розділення лінзування від баріонів пояснюється безстолкновенними оптичними фононами. MOND-поправка слідує за баріонами.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9. Тестовані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P-MOND-1: еволюція a₀ з червоним зсувом. </w:t>
      </w:r>
      <w:r>
        <w:rPr>
          <w:rFonts w:ascii="Cambria" w:cs="Cambria" w:eastAsia="Cambria" w:hAnsi="Cambria"/>
          <w:sz w:val="22"/>
          <w:szCs w:val="22"/>
        </w:rPr>
        <w:t xml:space="preserve">a₀(z) = cH(z). При z=1: a₀ ≈ 1.5 a₀(z=0). Тестується JWST/ELT. Якщо a₀ стала з точністю 10% до z=1, кристалічна інтерпретація фальсифікована.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P-MOND-2: специфічна інтерполяційна функція. </w:t>
      </w:r>
      <w:r>
        <w:rPr>
          <w:rFonts w:ascii="Cambria" w:cs="Cambria" w:eastAsia="Cambria" w:hAnsi="Cambria"/>
          <w:sz w:val="22"/>
          <w:szCs w:val="22"/>
        </w:rPr>
        <w:t xml:space="preserve">μ(x) = x/(1+x)^{1/2}. Різниця ~5% при a ~ a₀. Тестується даними SPARC.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P-MOND-3: кореляція ЗПЕ–космічна павутина. </w:t>
      </w:r>
      <w:r>
        <w:rPr>
          <w:rFonts w:ascii="Cambria" w:cs="Cambria" w:eastAsia="Cambria" w:hAnsi="Cambria"/>
          <w:sz w:val="22"/>
          <w:szCs w:val="22"/>
        </w:rPr>
        <w:t xml:space="preserve">Сила ЗПЕ корелює з філаментним середовищем, а не тільки з a_ext. Тестується Euclid/DESI.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P-MOND-4: анізотропний MOND. </w:t>
      </w:r>
      <w:r>
        <w:rPr>
          <w:rFonts w:ascii="Cambria" w:cs="Cambria" w:eastAsia="Cambria" w:hAnsi="Cambria"/>
          <w:sz w:val="22"/>
          <w:szCs w:val="22"/>
        </w:rPr>
        <w:t xml:space="preserve">Аномалія кривої обертання корелює з напрямком до найближчого філаменту. ~10–20%. Тестується IFU-оглядами.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P-MOND-5: залишковий спектр маси скупчень. </w:t>
      </w:r>
      <w:r>
        <w:rPr>
          <w:rFonts w:ascii="Cambria" w:cs="Cambria" w:eastAsia="Cambria" w:hAnsi="Cambria"/>
          <w:sz w:val="22"/>
          <w:szCs w:val="22"/>
        </w:rPr>
        <w:t xml:space="preserve">Залишкова дискрепанція маси відповідає оптичному фононному спектру m_DM ~ 100 ГеВ.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P-MOND-6: амплітуда розсіювання на межах зерен CDT. </w:t>
      </w:r>
      <w:r>
        <w:rPr>
          <w:rFonts w:ascii="Cambria" w:cs="Cambria" w:eastAsia="Cambria" w:hAnsi="Cambria"/>
          <w:sz w:val="22"/>
          <w:szCs w:val="22"/>
        </w:rPr>
        <w:t xml:space="preserve">Обчислювана з CDT симуляцій, має збігатися з a₀/cH₀.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10. Відношення до існуючих теорій MOND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TeVeS (Бекенштайн 2004), AQUAL, ентропійна гравітація Верлінде (2016), надплинна темна матерія (Бережняні та Хурі 2015) — усі мають структурні паралелі з CDT–CCDR, але жодна не надає конкретного мікроскопічного механізму (розсіювання фононів на межах зерен) та обчислюваних передбачень з CDT симуляцій.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11.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MOND виникає з CDT–CCDR як розсіювання фононів на межах зерен. Ключові результати: (i) a₀ = cH₀ — структурна тотожність. (ii) M ∝ v⁴ без вільних параметрів. (iii) ЗПЕ — гранична умова кристалу. (iv) Провал MOND на масштабах скупчень — множинне розсіювання + оптичні фонони. (v) Шість тестованих передбачень. Протиріччя MOND/темна матерія вирішено: обидва правильні, на різних масштабах.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[1] </w:t>
      </w:r>
      <w:r>
        <w:rPr>
          <w:rFonts w:ascii="Cambria" w:cs="Cambria" w:eastAsia="Cambria" w:hAnsi="Cambria"/>
          <w:sz w:val="22"/>
          <w:szCs w:val="22"/>
        </w:rPr>
        <w:t xml:space="preserve">Milgrom (1983). Astrophys. J. 270, 365.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[2] </w:t>
      </w:r>
      <w:r>
        <w:rPr>
          <w:rFonts w:ascii="Cambria" w:cs="Cambria" w:eastAsia="Cambria" w:hAnsi="Cambria"/>
          <w:sz w:val="22"/>
          <w:szCs w:val="22"/>
        </w:rPr>
        <w:t xml:space="preserve">McGaugh et al. (2016). Phys. Rev. Lett. 117, 201101.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[3] </w:t>
      </w:r>
      <w:r>
        <w:rPr>
          <w:rFonts w:ascii="Cambria" w:cs="Cambria" w:eastAsia="Cambria" w:hAnsi="Cambria"/>
          <w:sz w:val="22"/>
          <w:szCs w:val="22"/>
        </w:rPr>
        <w:t xml:space="preserve">Lelli et al. (2017). Astrophys. J. 836, 152.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[4] </w:t>
      </w:r>
      <w:r>
        <w:rPr>
          <w:rFonts w:ascii="Cambria" w:cs="Cambria" w:eastAsia="Cambria" w:hAnsi="Cambria"/>
          <w:sz w:val="22"/>
          <w:szCs w:val="22"/>
        </w:rPr>
        <w:t xml:space="preserve">Bekenstein (2004). Phys. Rev. D 70, 083509.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[5] </w:t>
      </w:r>
      <w:r>
        <w:rPr>
          <w:rFonts w:ascii="Cambria" w:cs="Cambria" w:eastAsia="Cambria" w:hAnsi="Cambria"/>
          <w:sz w:val="22"/>
          <w:szCs w:val="22"/>
        </w:rPr>
        <w:t xml:space="preserve">Verlinde (2017). SciPost Phys. 2, 016.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[6] </w:t>
      </w:r>
      <w:r>
        <w:rPr>
          <w:rFonts w:ascii="Cambria" w:cs="Cambria" w:eastAsia="Cambria" w:hAnsi="Cambria"/>
          <w:sz w:val="22"/>
          <w:szCs w:val="22"/>
        </w:rPr>
        <w:t xml:space="preserve">Berezhiani &amp; Khoury (2015). Phys. Rev. D 92, 103510.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[8] </w:t>
      </w:r>
      <w:r>
        <w:rPr>
          <w:rFonts w:ascii="Cambria" w:cs="Cambria" w:eastAsia="Cambria" w:hAnsi="Cambria"/>
          <w:sz w:val="22"/>
          <w:szCs w:val="22"/>
        </w:rPr>
        <w:t xml:space="preserve">Ambjørn, Jurkiewicz &amp; Loll (2005). Phys. Rev. Lett. 95, 171301.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[11] </w:t>
      </w:r>
      <w:r>
        <w:rPr>
          <w:rFonts w:ascii="Cambria" w:cs="Cambria" w:eastAsia="Cambria" w:hAnsi="Cambria"/>
          <w:sz w:val="22"/>
          <w:szCs w:val="22"/>
        </w:rPr>
        <w:t xml:space="preserve">Famaey &amp; McGaugh (2012). Living Rev. Relativ. 15, 10.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2026-03-21T19:18:55.102Z</dcterms:created>
  <dcterms:modified xsi:type="dcterms:W3CDTF">2026-03-21T19:18:55.123Z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