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Розширений</w:t>
      </w:r>
      <w:r>
        <w:t xml:space="preserve"> </w:t>
      </w:r>
      <w:r>
        <w:t xml:space="preserve">кристалографічний</w:t>
      </w:r>
      <w:r>
        <w:t xml:space="preserve"> </w:t>
      </w:r>
      <w:r>
        <w:t xml:space="preserve">синтез</w:t>
      </w:r>
      <w:r>
        <w:t xml:space="preserve"> </w:t>
      </w:r>
      <w:r>
        <w:t xml:space="preserve">(v2,</w:t>
      </w:r>
      <w:r>
        <w:t xml:space="preserve"> </w:t>
      </w:r>
      <w:r>
        <w:t xml:space="preserve">узгоджено</w:t>
      </w:r>
      <w:r>
        <w:t xml:space="preserve"> </w:t>
      </w:r>
      <w:r>
        <w:t xml:space="preserve">з</w:t>
      </w:r>
      <w:r>
        <w:t xml:space="preserve"> </w:t>
      </w:r>
      <w:r>
        <w:t xml:space="preserve">CCDR</w:t>
      </w:r>
      <w:r>
        <w:t xml:space="preserve"> </w:t>
      </w:r>
      <w:r>
        <w:t xml:space="preserve">v6)</w:t>
      </w:r>
    </w:p>
    <w:p>
      <w:pPr>
        <w:pStyle w:val="Subtitle"/>
      </w:pPr>
      <w:r>
        <w:t xml:space="preserve">12</w:t>
      </w:r>
      <w:r>
        <w:t xml:space="preserve"> </w:t>
      </w:r>
      <w:r>
        <w:t xml:space="preserve">первинних</w:t>
      </w:r>
      <w:r>
        <w:t xml:space="preserve"> </w:t>
      </w:r>
      <w:r>
        <w:t xml:space="preserve">структур,</w:t>
      </w:r>
      <w:r>
        <w:t xml:space="preserve"> </w:t>
      </w:r>
      <w:r>
        <w:t xml:space="preserve">3</w:t>
      </w:r>
      <w:r>
        <w:t xml:space="preserve"> </w:t>
      </w:r>
      <w:r>
        <w:t xml:space="preserve">альтернативні</w:t>
      </w:r>
      <w:r>
        <w:t xml:space="preserve"> </w:t>
      </w:r>
      <w:r>
        <w:t xml:space="preserve">гілки,</w:t>
      </w:r>
      <w:r>
        <w:t xml:space="preserve"> </w:t>
      </w:r>
      <w:r>
        <w:t xml:space="preserve">6</w:t>
      </w:r>
      <w:r>
        <w:t xml:space="preserve"> </w:t>
      </w:r>
      <w:r>
        <w:t xml:space="preserve">шляхів</w:t>
      </w:r>
      <w:r>
        <w:t xml:space="preserve"> </w:t>
      </w:r>
      <w:r>
        <w:t xml:space="preserve">розв’язання</w:t>
      </w:r>
      <w:r>
        <w:t xml:space="preserve"> </w:t>
      </w:r>
      <w:r>
        <w:t xml:space="preserve">—</w:t>
      </w:r>
      <w:r>
        <w:t xml:space="preserve"> </w:t>
      </w:r>
      <w:r>
        <w:t xml:space="preserve">з</w:t>
      </w:r>
      <w:r>
        <w:t xml:space="preserve"> </w:t>
      </w:r>
      <w:r>
        <w:t xml:space="preserve">N</w:t>
      </w:r>
      <w:r>
        <w:t xml:space="preserve"> </w:t>
      </w:r>
      <w:r>
        <w:t xml:space="preserve">як</w:t>
      </w:r>
      <w:r>
        <w:t xml:space="preserve"> </w:t>
      </w:r>
      <w:r>
        <w:t xml:space="preserve">емпіричним</w:t>
      </w:r>
      <w:r>
        <w:t xml:space="preserve"> </w:t>
      </w:r>
      <w:r>
        <w:t xml:space="preserve">виходом</w:t>
      </w:r>
    </w:p>
    <w:p>
      <w:pPr>
        <w:pStyle w:val="Author"/>
      </w:pPr>
      <w:r>
        <w:t xml:space="preserve">[Імена</w:t>
      </w:r>
      <w:r>
        <w:t xml:space="preserve"> </w:t>
      </w:r>
      <w:r>
        <w:t xml:space="preserve">авторів</w:t>
      </w:r>
      <w:r>
        <w:t xml:space="preserve"> </w:t>
      </w:r>
      <w:r>
        <w:t xml:space="preserve">приховано]</w:t>
      </w:r>
    </w:p>
    <w:p>
      <w:pPr>
        <w:pStyle w:val="Date"/>
      </w:pPr>
      <w:r>
        <w:t xml:space="preserve">Березень</w:t>
      </w:r>
      <w:r>
        <w:t xml:space="preserve"> </w:t>
      </w:r>
      <w:r>
        <w:t xml:space="preserve">2026</w:t>
      </w:r>
    </w:p>
    <w:bookmarkStart w:id="20" w:name="анотація"/>
    <w:p>
      <w:pPr>
        <w:pStyle w:val="Heading1"/>
      </w:pPr>
      <w:r>
        <w:t xml:space="preserve">Анотація</w:t>
      </w:r>
    </w:p>
    <w:p>
      <w:pPr>
        <w:pStyle w:val="FirstParagraph"/>
      </w:pPr>
      <w:r>
        <w:t xml:space="preserve">Ми представляємо версію 2 розширеного кристалографічного синтезу, переглянуту для узгодженості з CCDR v6. Дві структурні зміни керують ревізією:</w:t>
      </w:r>
    </w:p>
    <w:p>
      <w:pPr>
        <w:pStyle w:val="BodyText"/>
      </w:pPr>
      <w:r>
        <w:rPr>
          <w:bCs/>
          <w:b/>
        </w:rPr>
        <w:t xml:space="preserve">(i)</w:t>
      </w:r>
      <w:r>
        <w:t xml:space="preserve"> </w:t>
      </w:r>
      <w:r>
        <w:t xml:space="preserve">CCDR v6 трактує Великий вибух як</w:t>
      </w:r>
      <w:r>
        <w:t xml:space="preserve"> </w:t>
      </w:r>
      <w:r>
        <w:rPr>
          <w:iCs/>
          <w:i/>
        </w:rPr>
        <w:t xml:space="preserve">каскад</w:t>
      </w:r>
      <w:r>
        <w:t xml:space="preserve"> </w:t>
      </w:r>
      <w:r>
        <w:t xml:space="preserve">N → N−1 → … → 4 вимірнісних редукцій, з одним залишком темної матерії на стадію. Це впливає на кожну структуру, чия роль у v1 посилалася на</w:t>
      </w:r>
      <w:r>
        <w:t xml:space="preserve"> </w:t>
      </w:r>
      <w:r>
        <w:t xml:space="preserve">“</w:t>
      </w:r>
      <w:r>
        <w:t xml:space="preserve">цю</w:t>
      </w:r>
      <w:r>
        <w:t xml:space="preserve">”</w:t>
      </w:r>
      <w:r>
        <w:t xml:space="preserve"> </w:t>
      </w:r>
      <w:r>
        <w:t xml:space="preserve">подію редукції.</w:t>
      </w:r>
    </w:p>
    <w:p>
      <w:pPr>
        <w:pStyle w:val="BodyText"/>
      </w:pPr>
      <w:r>
        <w:rPr>
          <w:bCs/>
          <w:b/>
        </w:rPr>
        <w:t xml:space="preserve">(ii)</w:t>
      </w:r>
      <w:r>
        <w:t xml:space="preserve"> </w:t>
      </w:r>
      <w:r>
        <w:t xml:space="preserve">CCDR v6 відмовляється фіксувати N апріорі; N є</w:t>
      </w:r>
      <w:r>
        <w:t xml:space="preserve"> </w:t>
      </w:r>
      <w:r>
        <w:rPr>
          <w:iCs/>
          <w:i/>
        </w:rPr>
        <w:t xml:space="preserve">емпіричним виходом</w:t>
      </w:r>
      <w:r>
        <w:t xml:space="preserve">, прочитаним з числа розрізнюваних масових піків темної матерії. Перехресна перевірка v1 P25 (</w:t>
      </w:r>
      <w:r>
        <w:t xml:space="preserve">“</w:t>
      </w:r>
      <w:r>
        <w:t xml:space="preserve">три незалежні шляхи дають N = 6</w:t>
      </w:r>
      <w:r>
        <w:t xml:space="preserve">”</w:t>
      </w:r>
      <w:r>
        <w:t xml:space="preserve">) тому понижена з виведення до</w:t>
      </w:r>
      <w:r>
        <w:t xml:space="preserve"> </w:t>
      </w:r>
      <w:r>
        <w:rPr>
          <w:iCs/>
          <w:i/>
        </w:rPr>
        <w:t xml:space="preserve">апріорного очікування</w:t>
      </w:r>
      <w:r>
        <w:t xml:space="preserve">. Ми повністю видаляємо алгебраїчно-нумерологічну рамку і замінюємо її спростовним протоколом підрахунку.</w:t>
      </w:r>
    </w:p>
    <w:p>
      <w:pPr>
        <w:pStyle w:val="BodyText"/>
      </w:pPr>
      <w:r>
        <w:t xml:space="preserve">Переглянутий синтез зберігає 12 первинних структур, 3 альтернативні замінні гілки і 6 шляхів розв’язання, але: (а) DA/O переосмислюється як такий, що постачає</w:t>
      </w:r>
      <w:r>
        <w:t xml:space="preserve"> </w:t>
      </w:r>
      <w:r>
        <w:rPr>
          <w:iCs/>
          <w:i/>
        </w:rPr>
        <w:t xml:space="preserve">верхню межу</w:t>
      </w:r>
      <w:r>
        <w:t xml:space="preserve"> </w:t>
      </w:r>
      <w:r>
        <w:t xml:space="preserve">N ≤ 11, а не значення N = 6; (б) k_eff AQN переосмислюється як обмеження на</w:t>
      </w:r>
      <w:r>
        <w:t xml:space="preserve"> </w:t>
      </w:r>
      <w:r>
        <w:rPr>
          <w:iCs/>
          <w:i/>
        </w:rPr>
        <w:t xml:space="preserve">суму</w:t>
      </w:r>
      <w:r>
        <w:t xml:space="preserve"> </w:t>
      </w:r>
      <w:r>
        <w:t xml:space="preserve">поширеностей каскадних залишків, а не як підрахунок секторів; (в) роль HaPPY обмежується єдиною фінальною стадією k = 4; (г) P21–P26 переписані так, щоб жодне не припускало N = 6; (д) Шлях розв’язання 1 (Свомпленд) стає обмеженням на</w:t>
      </w:r>
      <w:r>
        <w:t xml:space="preserve"> </w:t>
      </w:r>
      <w:r>
        <w:rPr>
          <w:iCs/>
          <w:i/>
        </w:rPr>
        <w:t xml:space="preserve">функцію часування</w:t>
      </w:r>
      <w:r>
        <w:t xml:space="preserve"> </w:t>
      </w:r>
      <w:r>
        <w:t xml:space="preserve">каскаду, а не на саме N; (е) Шлях розв’язання 6 (спін-пінна RG Бара–Штайнгауса) стає потоком стадія за стадією, а не єдиною ціллю збіжності. Шар 0 ієрархії спростовності отримує нову умову виходу: пряме виявлення темної матерії, що розрізняє другий масовий пік з негеометричними відношеннями, спростовує каскадне ядро, а не лише алгебраїчне оздоблення.</w:t>
      </w:r>
    </w:p>
    <w:bookmarkEnd w:id="20"/>
    <w:bookmarkStart w:id="33" w:name="первинних-структур-переглянуті-ролі"/>
    <w:p>
      <w:pPr>
        <w:pStyle w:val="Heading1"/>
      </w:pPr>
      <w:r>
        <w:t xml:space="preserve">1. 12 первинних структур (переглянуті ролі)</w:t>
      </w:r>
    </w:p>
    <w:p>
      <w:pPr>
        <w:pStyle w:val="FirstParagraph"/>
      </w:pPr>
      <w:r>
        <w:t xml:space="preserve">Хронологічний список незмінний.</w:t>
      </w:r>
      <w:r>
        <w:t xml:space="preserve"> </w:t>
      </w:r>
      <w:r>
        <w:rPr>
          <w:iCs/>
          <w:i/>
        </w:rPr>
        <w:t xml:space="preserve">Роль</w:t>
      </w:r>
      <w:r>
        <w:t xml:space="preserve"> </w:t>
      </w:r>
      <w:r>
        <w:t xml:space="preserve">кожної структури оновлена там, де v6 цього вимагає.</w:t>
      </w:r>
    </w:p>
    <w:bookmarkStart w:id="21" w:name="lgt-wilson-1974"/>
    <w:p>
      <w:pPr>
        <w:pStyle w:val="Heading2"/>
      </w:pPr>
      <w:r>
        <w:t xml:space="preserve">1.1 LGT — Wilson (1974)</w:t>
      </w:r>
    </w:p>
    <w:p>
      <w:pPr>
        <w:pStyle w:val="FirstParagraph"/>
      </w:pPr>
      <w:r>
        <w:rPr>
          <w:bCs/>
          <w:b/>
        </w:rPr>
        <w:t xml:space="preserve">Роль незмінна.</w:t>
      </w:r>
      <w:r>
        <w:t xml:space="preserve"> </w:t>
      </w:r>
      <w:r>
        <w:t xml:space="preserve">Обчислювальний рушій. Машинерія Монте-Карло для інтеграла шляху CDT, спектральної дії SSM, конденсату GFT та фермионного пропагатора.</w:t>
      </w:r>
    </w:p>
    <w:bookmarkEnd w:id="21"/>
    <w:bookmarkStart w:id="22" w:name="as-weinberg-1979-reuter-1998"/>
    <w:p>
      <w:pPr>
        <w:pStyle w:val="Heading2"/>
      </w:pPr>
      <w:r>
        <w:t xml:space="preserve">1.2 AS — Weinberg (1979), Reuter (1998)</w:t>
      </w:r>
    </w:p>
    <w:p>
      <w:pPr>
        <w:pStyle w:val="FirstParagraph"/>
      </w:pPr>
      <w:r>
        <w:rPr>
          <w:bCs/>
          <w:b/>
        </w:rPr>
        <w:t xml:space="preserve">Роль незмінна.</w:t>
      </w:r>
      <w:r>
        <w:t xml:space="preserve"> </w:t>
      </w:r>
      <w:r>
        <w:t xml:space="preserve">УФ фіксована точка G* і Λ*. Константи зв’язку як власні значення RG. Каскадна картина вводить</w:t>
      </w:r>
      <w:r>
        <w:t xml:space="preserve"> </w:t>
      </w:r>
      <w:r>
        <w:rPr>
          <w:iCs/>
          <w:i/>
        </w:rPr>
        <w:t xml:space="preserve">множинні</w:t>
      </w:r>
      <w:r>
        <w:t xml:space="preserve"> </w:t>
      </w:r>
      <w:r>
        <w:t xml:space="preserve">потоки RG (по одному на каскадну стадію), але кожен потік окремо має структуру AS.</w:t>
      </w:r>
    </w:p>
    <w:bookmarkEnd w:id="22"/>
    <w:bookmarkStart w:id="23" w:name="ssm-connes-1996-chamseddineconnes-2007"/>
    <w:p>
      <w:pPr>
        <w:pStyle w:val="Heading2"/>
      </w:pPr>
      <w:r>
        <w:t xml:space="preserve">1.3 SSM — Connes (1996), Chamseddine–Connes (2007)</w:t>
      </w:r>
    </w:p>
    <w:p>
      <w:pPr>
        <w:pStyle w:val="FirstParagraph"/>
      </w:pPr>
      <w:r>
        <w:rPr>
          <w:bCs/>
          <w:b/>
        </w:rPr>
        <w:t xml:space="preserve">Роль уточнена.</w:t>
      </w:r>
      <w:r>
        <w:t xml:space="preserve"> </w:t>
      </w:r>
      <w:r>
        <w:t xml:space="preserve">Спектральна дія L_SM = Tr(f(D_CDT/Λ)) + ⟨Jψ, D_CDT ψ⟩ виробляє лагранжіан Стандартної моделі на</w:t>
      </w:r>
      <w:r>
        <w:t xml:space="preserve"> </w:t>
      </w:r>
      <w:r>
        <w:rPr>
          <w:iCs/>
          <w:i/>
        </w:rPr>
        <w:t xml:space="preserve">фінальній</w:t>
      </w:r>
      <w:r>
        <w:t xml:space="preserve"> </w:t>
      </w:r>
      <w:r>
        <w:t xml:space="preserve">геометрії CDT (стадія k = 4). Проміжні каскадні стадії мають власні спектральні дії з усіченими калібрувальними групами; вони не спостерігаються безпосередньо, але обмежують форму фінальної СМ через граничні умови на каскаді.</w:t>
      </w:r>
    </w:p>
    <w:bookmarkEnd w:id="23"/>
    <w:bookmarkStart w:id="24" w:name="rvm-shapiro-solà-2002"/>
    <w:p>
      <w:pPr>
        <w:pStyle w:val="Heading2"/>
      </w:pPr>
      <w:r>
        <w:t xml:space="preserve">1.4 RVM — Shapiro &amp; Solà (2002)</w:t>
      </w:r>
    </w:p>
    <w:p>
      <w:pPr>
        <w:pStyle w:val="FirstParagraph"/>
      </w:pPr>
      <w:r>
        <w:rPr>
          <w:bCs/>
          <w:b/>
        </w:rPr>
        <w:t xml:space="preserve">Роль розширена.</w:t>
      </w:r>
      <w:r>
        <w:t xml:space="preserve"> </w:t>
      </w:r>
      <w:r>
        <w:t xml:space="preserve">ρ_vac(H) = C_0 + ν m² H² / M²_pl тепер описує еволюцію вакууму</w:t>
      </w:r>
      <w:r>
        <w:t xml:space="preserve"> </w:t>
      </w:r>
      <w:r>
        <w:rPr>
          <w:iCs/>
          <w:i/>
        </w:rPr>
        <w:t xml:space="preserve">через всі каскадні стадії</w:t>
      </w:r>
      <w:r>
        <w:t xml:space="preserve">. Єдиний коефіцієнт ν у v1 стає функцією ν(k) у принципі; пізнє спостережуване значення ν ~ 10⁻³ є границею при k = 4.</w:t>
      </w:r>
      <w:r>
        <w:t xml:space="preserve"> </w:t>
      </w:r>
      <w:r>
        <w:rPr>
          <w:bCs/>
          <w:b/>
        </w:rPr>
        <w:t xml:space="preserve">Вирішально, крива охолодження RVM встановлює часування каскаду</w:t>
      </w:r>
      <w:r>
        <w:t xml:space="preserve">, і отже (через R_k = c/H_k) масову вежу темної матерії, передбачену CCDR v6.</w:t>
      </w:r>
    </w:p>
    <w:bookmarkEnd w:id="24"/>
    <w:bookmarkStart w:id="25" w:name="aqn-zhitnitsky-2003"/>
    <w:p>
      <w:pPr>
        <w:pStyle w:val="Heading2"/>
      </w:pPr>
      <w:r>
        <w:t xml:space="preserve">1.5 AQN — Zhitnitsky (2003)</w:t>
      </w:r>
    </w:p>
    <w:p>
      <w:pPr>
        <w:pStyle w:val="FirstParagraph"/>
      </w:pPr>
      <w:r>
        <w:rPr>
          <w:bCs/>
          <w:b/>
        </w:rPr>
        <w:t xml:space="preserve">Роль значно переглянута.</w:t>
      </w:r>
      <w:r>
        <w:t xml:space="preserve"> </w:t>
      </w:r>
      <w:r>
        <w:t xml:space="preserve">У v1 k_eff AQN = 1/6 читалося як свідчення, що N = 6 (один видимий плюс п’ять темних секторів). У v2 це читання відкидається як циркулярне. AQN зберігається як</w:t>
      </w:r>
      <w:r>
        <w:t xml:space="preserve"> </w:t>
      </w:r>
      <w:r>
        <w:rPr>
          <w:iCs/>
          <w:i/>
        </w:rPr>
        <w:t xml:space="preserve">механізм</w:t>
      </w:r>
      <w:r>
        <w:t xml:space="preserve"> </w:t>
      </w:r>
      <w:r>
        <w:t xml:space="preserve">для темної матерії з кристалічних дефектів на масштабі КХД, що вносить вклад в Ω_4 (найлегший каскадний залишок). Відношення Ω_DM/Ω_B ≈ 5 тепер пояснюється як Σ_{k=4}^{N} Ω_k / Ω_B ≈ 5, сума по залишках, а не одиничний алгебраїчний підрахунок. AQN надає</w:t>
      </w:r>
      <w:r>
        <w:t xml:space="preserve"> </w:t>
      </w:r>
      <w:r>
        <w:rPr>
          <w:iCs/>
          <w:i/>
        </w:rPr>
        <w:t xml:space="preserve">обчислення поширеності</w:t>
      </w:r>
      <w:r>
        <w:t xml:space="preserve"> </w:t>
      </w:r>
      <w:r>
        <w:t xml:space="preserve">лише для Ω_4; поширеності важчих залишків потребують обчислення термалізації каскадної стадії, позначеного як Відкрита проблема 8.3 у CCDR v6.</w:t>
      </w:r>
    </w:p>
    <w:bookmarkEnd w:id="25"/>
    <w:bookmarkStart w:id="26" w:name="cdt-ambjørn-jurkiewicz-loll-2004"/>
    <w:p>
      <w:pPr>
        <w:pStyle w:val="Heading2"/>
      </w:pPr>
      <w:r>
        <w:t xml:space="preserve">1.6 CDT — Ambjørn, Jurkiewicz, Loll (2004)</w:t>
      </w:r>
    </w:p>
    <w:p>
      <w:pPr>
        <w:pStyle w:val="FirstParagraph"/>
      </w:pPr>
      <w:r>
        <w:rPr>
          <w:bCs/>
          <w:b/>
        </w:rPr>
        <w:t xml:space="preserve">Роль розширена.</w:t>
      </w:r>
      <w:r>
        <w:t xml:space="preserve"> </w:t>
      </w:r>
      <w:r>
        <w:t xml:space="preserve">Симпліціальний інтеграл шляху тепер інтерпретується як такий, що описує</w:t>
      </w:r>
      <w:r>
        <w:t xml:space="preserve"> </w:t>
      </w:r>
      <w:r>
        <w:rPr>
          <w:iCs/>
          <w:i/>
        </w:rPr>
        <w:t xml:space="preserve">поточну</w:t>
      </w:r>
      <w:r>
        <w:t xml:space="preserve"> </w:t>
      </w:r>
      <w:r>
        <w:t xml:space="preserve">каскадну стадію, де фазовий перехід A → C на кожній стадії відповідає насиченню голографічної межі, що запускає наступну редукцію. Потік спектральної вимірності d_s: 4 → 2 є локальною сигнатурою k = 4; проміжні стадії мають аналогічні потоки, які не спостерігаються безпосередньо, але мають бути присутніми у симуляціях CDT тріангуляцій вищих вимірностей.</w:t>
      </w:r>
    </w:p>
    <w:bookmarkEnd w:id="26"/>
    <w:bookmarkStart w:id="27" w:name="tn-ryutakayanagi-2006-hayden-et-al.-2016"/>
    <w:p>
      <w:pPr>
        <w:pStyle w:val="Heading2"/>
      </w:pPr>
      <w:r>
        <w:t xml:space="preserve">1.7 TN — Ryu–Takayanagi (2006), Hayden et al. (2016)</w:t>
      </w:r>
    </w:p>
    <w:p>
      <w:pPr>
        <w:pStyle w:val="FirstParagraph"/>
      </w:pPr>
      <w:r>
        <w:rPr>
          <w:bCs/>
          <w:b/>
        </w:rPr>
        <w:t xml:space="preserve">Роль обмежена.</w:t>
      </w:r>
      <w:r>
        <w:t xml:space="preserve"> </w:t>
      </w:r>
      <w:r>
        <w:t xml:space="preserve">Голографічний закон площі S = Площа/4G і ІЧ фіксована точка D_eff → e^{1/4} застосовуються на</w:t>
      </w:r>
      <w:r>
        <w:t xml:space="preserve"> </w:t>
      </w:r>
      <w:r>
        <w:rPr>
          <w:iCs/>
          <w:i/>
        </w:rPr>
        <w:t xml:space="preserve">фінальній</w:t>
      </w:r>
      <w:r>
        <w:t xml:space="preserve"> </w:t>
      </w:r>
      <w:r>
        <w:t xml:space="preserve">каскадній стадії k = 4. Ранішня гіпотеза (синтез CDT–CCDR–TN), що ці особливості універсальні через всі стадії, призупинена до оцінки в CDT вищої вимірності.</w:t>
      </w:r>
    </w:p>
    <w:bookmarkEnd w:id="27"/>
    <w:bookmarkStart w:id="28" w:name="gft-eprl-oriti-2007-eprl-2008"/>
    <w:p>
      <w:pPr>
        <w:pStyle w:val="Heading2"/>
      </w:pPr>
      <w:r>
        <w:t xml:space="preserve">1.8 GFT + EPRL — Oriti (2007), EPRL (2008)</w:t>
      </w:r>
    </w:p>
    <w:p>
      <w:pPr>
        <w:pStyle w:val="FirstParagraph"/>
      </w:pPr>
      <w:r>
        <w:rPr>
          <w:bCs/>
          <w:b/>
        </w:rPr>
        <w:t xml:space="preserve">Роль уточнена.</w:t>
      </w:r>
      <w:r>
        <w:t xml:space="preserve"> </w:t>
      </w:r>
      <w:r>
        <w:t xml:space="preserve">Конденсат GFT виробляє ν на кожній каскадній стадії; значення залежить від стадії. Хіральна амплітуда EPRL з параметром Барберо–Іммірці γ живить фактор f_geo баріогенезу на фінальній стадії.</w:t>
      </w:r>
    </w:p>
    <w:bookmarkEnd w:id="28"/>
    <w:bookmarkStart w:id="29" w:name="X91594dae444b29f8075600fab27d0bfd1a532e6"/>
    <w:p>
      <w:pPr>
        <w:pStyle w:val="Heading2"/>
      </w:pPr>
      <w:r>
        <w:t xml:space="preserve">1.9 TGFT-RG — Ben Geloun &amp; Rivasseau (2012), Carrozza (2014)</w:t>
      </w:r>
    </w:p>
    <w:p>
      <w:pPr>
        <w:pStyle w:val="FirstParagraph"/>
      </w:pPr>
      <w:r>
        <w:rPr>
          <w:bCs/>
          <w:b/>
        </w:rPr>
        <w:t xml:space="preserve">Роль розширена.</w:t>
      </w:r>
      <w:r>
        <w:t xml:space="preserve"> </w:t>
      </w:r>
      <w:r>
        <w:t xml:space="preserve">Тепер відповідає за: (а) виробництво ν як стадійно-залежного виходу ІЧ фіксованої точки; (б) обробку каскадних</w:t>
      </w:r>
      <w:r>
        <w:t xml:space="preserve"> </w:t>
      </w:r>
      <w:r>
        <w:rPr>
          <w:iCs/>
          <w:i/>
        </w:rPr>
        <w:t xml:space="preserve">переходів</w:t>
      </w:r>
      <w:r>
        <w:t xml:space="preserve"> </w:t>
      </w:r>
      <w:r>
        <w:t xml:space="preserve">між стадіями як подій потоку RG, а не як одиничних фазових переходів; (в) з’єднання зі спін-пінною RG Бара–Штайнгауса (Шлях розв’язання 6) для EPRL-специфічної реалізації.</w:t>
      </w:r>
    </w:p>
    <w:bookmarkEnd w:id="29"/>
    <w:bookmarkStart w:id="30" w:name="dao-furey-20122018-baez-2001"/>
    <w:p>
      <w:pPr>
        <w:pStyle w:val="Heading2"/>
      </w:pPr>
      <w:r>
        <w:t xml:space="preserve">1.10 DA/O — Furey (2012/2018), Baez (2001)</w:t>
      </w:r>
    </w:p>
    <w:p>
      <w:pPr>
        <w:pStyle w:val="FirstParagraph"/>
      </w:pPr>
      <w:r>
        <w:rPr>
          <w:bCs/>
          <w:b/>
        </w:rPr>
        <w:t xml:space="preserve">Роль значно понижена.</w:t>
      </w:r>
      <w:r>
        <w:t xml:space="preserve"> </w:t>
      </w:r>
      <w:r>
        <w:t xml:space="preserve">У v1 DA/O рекламувався як</w:t>
      </w:r>
      <w:r>
        <w:t xml:space="preserve"> </w:t>
      </w:r>
      <w:r>
        <w:t xml:space="preserve">“</w:t>
      </w:r>
      <w:r>
        <w:t xml:space="preserve">незалежний алгебраїчний шлях</w:t>
      </w:r>
      <w:r>
        <w:t xml:space="preserve">”</w:t>
      </w:r>
      <w:r>
        <w:t xml:space="preserve">, який давав N = 6 через обчислення R + C + H = 1 + 2 + 4 − 1 = 6. У v2 це переосмислюється: поділові алгебри постачають</w:t>
      </w:r>
      <w:r>
        <w:t xml:space="preserve"> </w:t>
      </w:r>
      <w:r>
        <w:rPr>
          <w:iCs/>
          <w:i/>
        </w:rPr>
        <w:t xml:space="preserve">верхню межу</w:t>
      </w:r>
      <w:r>
        <w:t xml:space="preserve"> </w:t>
      </w:r>
      <w:r>
        <w:t xml:space="preserve">на N, а не його значення. Повна послідовність R, C, H, O має вимірності 1, 2, 4, 8, що сумуються до 15; віднімаючи одиницю для загальної фази U(1), отримуємо N ≤ 14, і фізичні обмеження на калібрувальну структуру далі обмежують N ≤ 11. Перехресна перевірка синтезу P24 (C ⊗ H ⊗ O → SU(3) × SU(2) × U(1)) виживає як перевірка калібрувальної групи</w:t>
      </w:r>
      <w:r>
        <w:t xml:space="preserve"> </w:t>
      </w:r>
      <w:r>
        <w:rPr>
          <w:iCs/>
          <w:i/>
        </w:rPr>
        <w:t xml:space="preserve">фінальної</w:t>
      </w:r>
      <w:r>
        <w:t xml:space="preserve"> </w:t>
      </w:r>
      <w:r>
        <w:t xml:space="preserve">стадії, а не як свідчення для N = 6.</w:t>
      </w:r>
    </w:p>
    <w:bookmarkEnd w:id="30"/>
    <w:bookmarkStart w:id="31" w:name="happy-pastawski-et-al.-2015"/>
    <w:p>
      <w:pPr>
        <w:pStyle w:val="Heading2"/>
      </w:pPr>
      <w:r>
        <w:t xml:space="preserve">1.11 HaPPY — Pastawski et al. (2015)</w:t>
      </w:r>
    </w:p>
    <w:p>
      <w:pPr>
        <w:pStyle w:val="FirstParagraph"/>
      </w:pPr>
      <w:r>
        <w:rPr>
          <w:bCs/>
          <w:b/>
        </w:rPr>
        <w:t xml:space="preserve">Роль обмежена до k = 4.</w:t>
      </w:r>
      <w:r>
        <w:t xml:space="preserve"> </w:t>
      </w:r>
      <w:r>
        <w:t xml:space="preserve">Голографічна квантова корекція помилок застосовується на фінальній каскадній стадії, де межа є 3+1-вимірною. Калібрування v1</w:t>
      </w:r>
      <w:r>
        <w:t xml:space="preserve"> </w:t>
      </w:r>
      <w:r>
        <w:t xml:space="preserve">“</w:t>
      </w:r>
      <w:r>
        <w:t xml:space="preserve">N = 6 з вимірності коду HaPPY</w:t>
      </w:r>
      <w:r>
        <w:t xml:space="preserve">”</w:t>
      </w:r>
      <w:r>
        <w:t xml:space="preserve"> </w:t>
      </w:r>
      <w:r>
        <w:t xml:space="preserve">видаляється: воно було підгонкою до апріорного значення синтезу, а не незалежним виведенням.</w:t>
      </w:r>
    </w:p>
    <w:bookmarkEnd w:id="31"/>
    <w:bookmarkStart w:id="32" w:name="ccdr-v6-2026"/>
    <w:p>
      <w:pPr>
        <w:pStyle w:val="Heading2"/>
      </w:pPr>
      <w:r>
        <w:t xml:space="preserve">1.12 CCDR v6 (2026)</w:t>
      </w:r>
    </w:p>
    <w:p>
      <w:pPr>
        <w:pStyle w:val="FirstParagraph"/>
      </w:pPr>
      <w:r>
        <w:rPr>
          <w:bCs/>
          <w:b/>
        </w:rPr>
        <w:t xml:space="preserve">Роль уточнена.</w:t>
      </w:r>
      <w:r>
        <w:t xml:space="preserve"> </w:t>
      </w:r>
      <w:r>
        <w:t xml:space="preserve">Об’єднуючий принцип χ → 1 запускає вимірнісну редукцію</w:t>
      </w:r>
      <w:r>
        <w:t xml:space="preserve"> </w:t>
      </w:r>
      <w:r>
        <w:rPr>
          <w:iCs/>
          <w:i/>
        </w:rPr>
        <w:t xml:space="preserve">на кожній каскадній стадії</w:t>
      </w:r>
      <w:r>
        <w:t xml:space="preserve">. Шар CCDR тепер надає спростовний протокол підрахунку для N (CCDR v6 §3) і теорему відношень для масової вежі темної матерії.</w:t>
      </w:r>
    </w:p>
    <w:bookmarkEnd w:id="32"/>
    <w:bookmarkEnd w:id="33"/>
    <w:bookmarkStart w:id="34" w:name="три-альтернативні-замінні-гілки"/>
    <w:p>
      <w:pPr>
        <w:pStyle w:val="Heading1"/>
      </w:pPr>
      <w:r>
        <w:t xml:space="preserve">2. Три альтернативні замінні гілки</w:t>
      </w:r>
    </w:p>
    <w:p>
      <w:pPr>
        <w:pStyle w:val="FirstParagraph"/>
      </w:pPr>
      <w:r>
        <w:t xml:space="preserve">Архітектура гілок незмінна. Кожна залишається доступною як резерв, якщо первинний ланцюг провалюється.</w:t>
      </w:r>
    </w:p>
    <w:p>
      <w:pPr>
        <w:pStyle w:val="BodyText"/>
      </w:pPr>
      <w:r>
        <w:rPr>
          <w:bCs/>
          <w:b/>
        </w:rPr>
        <w:t xml:space="preserve">2.1 CST ↔ CDT — Bombelli–Sorkin (1987).</w:t>
      </w:r>
      <w:r>
        <w:t xml:space="preserve"> </w:t>
      </w:r>
      <w:r>
        <w:t xml:space="preserve">Простір-час як локально скінченний посет. Λ ~ 1/√N з пуассонівського підрахунку. Замінити, коли C-фаза CDT провалюється.</w:t>
      </w:r>
      <w:r>
        <w:t xml:space="preserve"> </w:t>
      </w:r>
      <w:r>
        <w:rPr>
          <w:iCs/>
          <w:i/>
        </w:rPr>
        <w:t xml:space="preserve">Зауваження для v2:</w:t>
      </w:r>
      <w:r>
        <w:t xml:space="preserve"> </w:t>
      </w:r>
      <w:r>
        <w:t xml:space="preserve">каскадна інтерпретація має бути перевиведена в CST, оскільки причинні множини природно не кодують каскадне впорядкування — це Відкрита проблема 8.4 (CCDR v6), розглянута з боку CST.</w:t>
      </w:r>
    </w:p>
    <w:p>
      <w:pPr>
        <w:pStyle w:val="BodyText"/>
      </w:pPr>
      <w:r>
        <w:rPr>
          <w:bCs/>
          <w:b/>
        </w:rPr>
        <w:t xml:space="preserve">2.2 EG ↔ CDT + TN — Jacobson (1995), Verlinde (2011/2017).</w:t>
      </w:r>
      <w:r>
        <w:t xml:space="preserve"> </w:t>
      </w:r>
      <w:r>
        <w:t xml:space="preserve">Рівняння Ейнштейна з δQ = T dS на горизонтах. MOND з ентропії заплутування де Сіттера. Замінити, коли CDT + TN не виробляє гравітацію.</w:t>
      </w:r>
      <w:r>
        <w:t xml:space="preserve"> </w:t>
      </w:r>
      <w:r>
        <w:rPr>
          <w:iCs/>
          <w:i/>
        </w:rPr>
        <w:t xml:space="preserve">Зауваження для v2:</w:t>
      </w:r>
      <w:r>
        <w:t xml:space="preserve"> </w:t>
      </w:r>
      <w:r>
        <w:t xml:space="preserve">результат SPARC RAR a₀ ≠ cH₀ при z = 0 сумісний з каскадною картиною, але затягує гілку EG; якщо каскадна інтерпретація відкидається, EG має пояснити значення Мілгрома безпосередньо.</w:t>
      </w:r>
    </w:p>
    <w:p>
      <w:pPr>
        <w:pStyle w:val="BodyText"/>
      </w:pPr>
      <w:r>
        <w:rPr>
          <w:bCs/>
          <w:b/>
        </w:rPr>
        <w:t xml:space="preserve">2.3 CFS ↔ CDT — Finster (2006).</w:t>
      </w:r>
      <w:r>
        <w:t xml:space="preserve"> </w:t>
      </w:r>
      <w:r>
        <w:t xml:space="preserve">Простір-час з операторної міри в гільбертовому просторі. Ейнштейн + Дірак з єдиного варіаційного принципу. Замінити, коли дискретність CDT хибна, але причинність зберігається.</w:t>
      </w:r>
      <w:r>
        <w:t xml:space="preserve"> </w:t>
      </w:r>
      <w:r>
        <w:rPr>
          <w:iCs/>
          <w:i/>
        </w:rPr>
        <w:t xml:space="preserve">Зауваження для v2:</w:t>
      </w:r>
      <w:r>
        <w:t xml:space="preserve"> </w:t>
      </w:r>
      <w:r>
        <w:t xml:space="preserve">CFS є найгнучкішою гілкою щодо каскадної картини, оскільки операторна міра може в принципі кодувати багатостадійну динаміку.</w:t>
      </w:r>
    </w:p>
    <w:bookmarkEnd w:id="34"/>
    <w:bookmarkStart w:id="43" w:name="прогнози-з-переглянутого-синтезу-p21p26"/>
    <w:p>
      <w:pPr>
        <w:pStyle w:val="Heading1"/>
      </w:pPr>
      <w:r>
        <w:t xml:space="preserve">3. Прогнози з переглянутого синтезу (P21–P26)</w:t>
      </w:r>
    </w:p>
    <w:p>
      <w:pPr>
        <w:pStyle w:val="FirstParagraph"/>
      </w:pPr>
      <w:r>
        <w:t xml:space="preserve">Прогнози v1 P21–P26 переписані так, щоб жодне не припускало N = 6.</w:t>
      </w:r>
    </w:p>
    <w:bookmarkStart w:id="35" w:name="X7591784b396d5d4da737b0f69c8becc8c256c96"/>
    <w:p>
      <w:pPr>
        <w:pStyle w:val="Heading2"/>
      </w:pPr>
      <w:r>
        <w:t xml:space="preserve">P21 (переглянутий) — Каскадний коефіцієнт TGFT-RG</w:t>
      </w:r>
    </w:p>
    <w:p>
      <w:pPr>
        <w:pStyle w:val="FirstParagraph"/>
      </w:pPr>
      <w:r>
        <w:t xml:space="preserve">ν є виходом ІЧ фіксованої точки на</w:t>
      </w:r>
      <w:r>
        <w:t xml:space="preserve"> </w:t>
      </w:r>
      <w:r>
        <w:rPr>
          <w:iCs/>
          <w:i/>
        </w:rPr>
        <w:t xml:space="preserve">фінальній</w:t>
      </w:r>
      <w:r>
        <w:t xml:space="preserve"> </w:t>
      </w:r>
      <w:r>
        <w:t xml:space="preserve">каскадній стадії. Передбачуване значення ν(k=4) = 10⁻³ ± 10⁻⁴.</w:t>
      </w:r>
      <w:r>
        <w:t xml:space="preserve"> </w:t>
      </w:r>
      <w:r>
        <w:rPr>
          <w:bCs/>
          <w:b/>
        </w:rPr>
        <w:t xml:space="preserve">Статус:</w:t>
      </w:r>
      <w:r>
        <w:t xml:space="preserve"> </w:t>
      </w:r>
      <w:r>
        <w:t xml:space="preserve">сумісно з підгонкою P01 RVM (ν = 0.00116 ± 0.00098). Значення раніших стадій ν(k &gt; 4) наразі не обмежені.</w:t>
      </w:r>
    </w:p>
    <w:bookmarkEnd w:id="35"/>
    <w:bookmarkStart w:id="36" w:name="X33426431c9391fbbfe0f31402756a658001ce48"/>
    <w:p>
      <w:pPr>
        <w:pStyle w:val="Heading2"/>
      </w:pPr>
      <w:r>
        <w:t xml:space="preserve">P22 (переглянутий) — Збіжність γ стадія за стадією</w:t>
      </w:r>
    </w:p>
    <w:p>
      <w:pPr>
        <w:pStyle w:val="FirstParagraph"/>
      </w:pPr>
      <w:r>
        <w:t xml:space="preserve">Спін-пінна RG Бара–Штайнгауса, застосована стадія за стадією, має давати γ_AS(k) → γ_EPRL(k) на ІЧ фіксованій точці кожної стадії. Поточна іграшкова реалізація (P17) дає γ* = 0.257 ± 0.023 з відносним розкидом 9%, що v2 переосмислює як</w:t>
      </w:r>
      <w:r>
        <w:t xml:space="preserve"> </w:t>
      </w:r>
      <w:r>
        <w:rPr>
          <w:iCs/>
          <w:i/>
        </w:rPr>
        <w:t xml:space="preserve">усереднену</w:t>
      </w:r>
      <w:r>
        <w:t xml:space="preserve"> </w:t>
      </w:r>
      <w:r>
        <w:t xml:space="preserve">сигнатуру внесків з k = 4, 5, 6 — а не як провал збіжності на фінальній стадії. Виправлений прогноз — γ(k = 4) → 0.250 в межах іграшкової точності; γ(k &gt; 4) не обов’язково сходиться до того ж значення.</w:t>
      </w:r>
    </w:p>
    <w:bookmarkEnd w:id="36"/>
    <w:bookmarkStart w:id="37" w:name="Xc4642d9f558d1c536bdf013323d1cf0093d2b69"/>
    <w:p>
      <w:pPr>
        <w:pStyle w:val="Heading2"/>
      </w:pPr>
      <w:r>
        <w:t xml:space="preserve">P23 (переглянутий) — Фазові переходи каскаду TGFT-RG</w:t>
      </w:r>
    </w:p>
    <w:p>
      <w:pPr>
        <w:pStyle w:val="FirstParagraph"/>
      </w:pPr>
      <w:r>
        <w:t xml:space="preserve">Потік TGFT-RG проявляє</w:t>
      </w:r>
      <w:r>
        <w:t xml:space="preserve"> </w:t>
      </w:r>
      <w:r>
        <w:rPr>
          <w:iCs/>
          <w:i/>
        </w:rPr>
        <w:t xml:space="preserve">множинні</w:t>
      </w:r>
      <w:r>
        <w:t xml:space="preserve"> </w:t>
      </w:r>
      <w:r>
        <w:t xml:space="preserve">фазові переходи, по одному на каскадну стадію. Перехід від симетричної (аналог A-фази) до конденсатної (аналог C-фази) на фінальній стадії k = 4 відповідає прогнозу v1. Додаткові переходи при k &gt; 4 є новими для v2 і є сигнатурами каскадної картини.</w:t>
      </w:r>
    </w:p>
    <w:bookmarkEnd w:id="37"/>
    <w:bookmarkStart w:id="38" w:name="p24-переглянутий-dao-як-верхня-межа"/>
    <w:p>
      <w:pPr>
        <w:pStyle w:val="Heading2"/>
      </w:pPr>
      <w:r>
        <w:t xml:space="preserve">P24 (переглянутий) — DA/O як верхня межа</w:t>
      </w:r>
    </w:p>
    <w:p>
      <w:pPr>
        <w:pStyle w:val="FirstParagraph"/>
      </w:pPr>
      <w:r>
        <w:t xml:space="preserve">C ⊗ H ⊗ O містить SU(3) × SU(2) × U(1) як підструктуру, надаючи калібрувальну групу на фінальній стадії.</w:t>
      </w:r>
      <w:r>
        <w:t xml:space="preserve"> </w:t>
      </w:r>
      <w:r>
        <w:rPr>
          <w:bCs/>
          <w:b/>
        </w:rPr>
        <w:t xml:space="preserve">Перехресна перевірка більше не претендує фіксувати N = 6</w:t>
      </w:r>
      <w:r>
        <w:t xml:space="preserve">; вона накладає верхню межу N ≤ 11.</w:t>
      </w:r>
    </w:p>
    <w:bookmarkEnd w:id="38"/>
    <w:bookmarkStart w:id="39" w:name="p25-переписаний-теорема-підрахунку-для-n"/>
    <w:p>
      <w:pPr>
        <w:pStyle w:val="Heading2"/>
      </w:pPr>
      <w:r>
        <w:t xml:space="preserve">P25 (переписаний) — Теорема підрахунку для N</w:t>
      </w:r>
    </w:p>
    <w:p>
      <w:pPr>
        <w:pStyle w:val="FirstParagraph"/>
      </w:pPr>
      <w:r>
        <w:t xml:space="preserve">Число розрізнюваних масових піків темної матерії дорівнює N − 4. P25 v1 (</w:t>
      </w:r>
      <w:r>
        <w:t xml:space="preserve">“</w:t>
      </w:r>
      <w:r>
        <w:t xml:space="preserve">три незалежні шляхи дають N = 6</w:t>
      </w:r>
      <w:r>
        <w:t xml:space="preserve">”</w:t>
      </w:r>
      <w:r>
        <w:t xml:space="preserve">) замінюється емпіричним протоколом:</w:t>
      </w:r>
    </w:p>
    <w:p>
      <w:pPr>
        <w:numPr>
          <w:ilvl w:val="0"/>
          <w:numId w:val="1001"/>
        </w:numPr>
        <w:pStyle w:val="Compact"/>
      </w:pPr>
      <w:r>
        <w:t xml:space="preserve">Експерименти прямого виявлення (XENONnT, LZ, майбутні тонно-масштабні установки) повідомляють всі масові піки над їхнім порогом.</w:t>
      </w:r>
    </w:p>
    <w:p>
      <w:pPr>
        <w:numPr>
          <w:ilvl w:val="0"/>
          <w:numId w:val="1001"/>
        </w:numPr>
        <w:pStyle w:val="Compact"/>
      </w:pPr>
      <w:r>
        <w:t xml:space="preserve">Число окремих піків дає N − 4.</w:t>
      </w:r>
    </w:p>
    <w:p>
      <w:pPr>
        <w:numPr>
          <w:ilvl w:val="0"/>
          <w:numId w:val="1001"/>
        </w:numPr>
        <w:pStyle w:val="Compact"/>
      </w:pPr>
      <w:r>
        <w:t xml:space="preserve">Відношення послідовних піків мають задовольняти m_{k+1}/m_k = H_{k+1}/H_k з охолодження RVM.</w:t>
      </w:r>
    </w:p>
    <w:p>
      <w:pPr>
        <w:numPr>
          <w:ilvl w:val="0"/>
          <w:numId w:val="1001"/>
        </w:numPr>
        <w:pStyle w:val="Compact"/>
      </w:pPr>
      <w:r>
        <w:t xml:space="preserve">Провал умови геометричного відношення спростовує каскадну картину; успіх визначає N емпірично.</w:t>
      </w:r>
    </w:p>
    <w:p>
      <w:pPr>
        <w:pStyle w:val="FirstParagraph"/>
      </w:pPr>
      <w:r>
        <w:rPr>
          <w:bCs/>
          <w:b/>
        </w:rPr>
        <w:t xml:space="preserve">Це єдиний чесний спосіб зафіксувати N у синтезі.</w:t>
      </w:r>
      <w:r>
        <w:t xml:space="preserve"> </w:t>
      </w:r>
      <w:r>
        <w:t xml:space="preserve">Нульовий результат з одним спостережуваним піком і без додаткових піків нижче 10 ТеВ сумісний з N = 5 (каскад зупиняється після одного залишку) або з N &gt; 5 з m_5 над 10 ТеВ; ці два розрізняються формою верхньої межі з прямого виявлення.</w:t>
      </w:r>
    </w:p>
    <w:bookmarkEnd w:id="39"/>
    <w:bookmarkStart w:id="40" w:name="X808b07dfb0c5255b9246dcd668f4b0ec58d2f80"/>
    <w:p>
      <w:pPr>
        <w:pStyle w:val="Heading2"/>
      </w:pPr>
      <w:r>
        <w:t xml:space="preserve">P26 (переглянутий) — Три напрямки ЗБ ↔ алгебра фінальної стадії</w:t>
      </w:r>
    </w:p>
    <w:p>
      <w:pPr>
        <w:pStyle w:val="FirstParagraph"/>
      </w:pPr>
      <w:r>
        <w:t xml:space="preserve">Три напрямки зони Бріллюена космологічного кристала відповідають трьом поділовим алгебрам (C, H, O), реалізованим на</w:t>
      </w:r>
      <w:r>
        <w:t xml:space="preserve"> </w:t>
      </w:r>
      <w:r>
        <w:rPr>
          <w:iCs/>
          <w:i/>
        </w:rPr>
        <w:t xml:space="preserve">фінальній</w:t>
      </w:r>
      <w:r>
        <w:t xml:space="preserve"> </w:t>
      </w:r>
      <w:r>
        <w:t xml:space="preserve">стадії k = 4. Читання v1</w:t>
      </w:r>
      <w:r>
        <w:t xml:space="preserve"> </w:t>
      </w:r>
      <w:r>
        <w:t xml:space="preserve">“</w:t>
      </w:r>
      <w:r>
        <w:t xml:space="preserve">(C ⊗ H ⊗ O)³</w:t>
      </w:r>
      <w:r>
        <w:t xml:space="preserve">”</w:t>
      </w:r>
      <w:r>
        <w:t xml:space="preserve"> </w:t>
      </w:r>
      <w:r>
        <w:t xml:space="preserve">зберігається, але інтерпретується як алгебра лише фінальної стадії.</w:t>
      </w:r>
    </w:p>
    <w:bookmarkEnd w:id="40"/>
    <w:bookmarkStart w:id="41" w:name="X990c53a86e4e972745ace8685878707e31f2550"/>
    <w:p>
      <w:pPr>
        <w:pStyle w:val="Heading2"/>
      </w:pPr>
      <w:r>
        <w:t xml:space="preserve">P27 (новий) — Відношення масової вежі темної матерії</w:t>
      </w:r>
    </w:p>
    <w:p>
      <w:pPr>
        <w:pStyle w:val="FirstParagraph"/>
      </w:pPr>
      <w:r>
        <w:t xml:space="preserve">Для параметра охолодження RVM ν ~ 10⁻³ передбачувані відношення m_{k+1}/m_k ~ 10–100, залежно від ν-залежності f(t), що керує часуванням каскаду. Виміряне відношення порядку одиниці, або відношення, які не є монотонними, спростовує каскадну картину.</w:t>
      </w:r>
      <w:r>
        <w:t xml:space="preserve"> </w:t>
      </w:r>
      <w:r>
        <w:rPr>
          <w:bCs/>
          <w:b/>
        </w:rPr>
        <w:t xml:space="preserve">Це найсильніший одиничний спростовник v6 + v2.</w:t>
      </w:r>
    </w:p>
    <w:bookmarkEnd w:id="41"/>
    <w:bookmarkStart w:id="42" w:name="X8ef40108b3c94e016f49e22aa6818fadcf02ee0"/>
    <w:p>
      <w:pPr>
        <w:pStyle w:val="Heading2"/>
      </w:pPr>
      <w:r>
        <w:t xml:space="preserve">P28 (новий) — Стадійні викривлення спектру КМВ</w:t>
      </w:r>
    </w:p>
    <w:p>
      <w:pPr>
        <w:pStyle w:val="FirstParagraph"/>
      </w:pPr>
      <w:r>
        <w:t xml:space="preserve">Викривлення μ-типу і y-типу КМВ проявляють N − 4 окремих особливостей, по одній на каскадну стадію. Місії класу PIXIE/PRISM могли б розрізнити їх на рівні 10⁻⁸. Чистий одноособовий спектр при чутливості PIXIE спростував би v6 на користь v5.</w:t>
      </w:r>
    </w:p>
    <w:bookmarkEnd w:id="42"/>
    <w:bookmarkEnd w:id="43"/>
    <w:bookmarkStart w:id="44" w:name="Xf4a2a86d8bc2fd1e415696a9dd2138831f19916"/>
    <w:p>
      <w:pPr>
        <w:pStyle w:val="Heading1"/>
      </w:pPr>
      <w:r>
        <w:t xml:space="preserve">4. Шарова спростовність зі шляхами резерву (переглянуто)</w:t>
      </w:r>
    </w:p>
    <w:p>
      <w:pPr>
        <w:pStyle w:val="FirstParagraph"/>
      </w:pPr>
      <w:r>
        <w:t xml:space="preserve">Нумерація шарів і архітектура незмінні. Шар 0 отримує нову умову виходу.</w:t>
      </w:r>
    </w:p>
    <w:p>
      <w:pPr>
        <w:pStyle w:val="BodyText"/>
      </w:pPr>
      <w:r>
        <w:rPr>
          <w:bCs/>
          <w:b/>
        </w:rPr>
        <w:t xml:space="preserve">Шар 0 (CDT + каскадне ядро):</w:t>
      </w:r>
      <w:r>
        <w:t xml:space="preserve"> </w:t>
      </w:r>
      <w:r>
        <w:t xml:space="preserve">провал → CST або CFS. Каскадна інтерпретація CCDR v6 виживає.</w:t>
      </w:r>
      <w:r>
        <w:t xml:space="preserve"> </w:t>
      </w:r>
      <w:r>
        <w:rPr>
          <w:iCs/>
          <w:i/>
        </w:rPr>
        <w:t xml:space="preserve">Нова умова виходу:</w:t>
      </w:r>
      <w:r>
        <w:t xml:space="preserve"> </w:t>
      </w:r>
      <w:r>
        <w:t xml:space="preserve">якщо пряме виявлення ТМ знаходить другий пік з відношенням порядку одиниці, каскадна картина спростовується на цьому шарі, і одноступенева картина v5 має бути відновлена (з відповідно нерозв’язаними напругами SPARC і γ-збіжності).</w:t>
      </w:r>
    </w:p>
    <w:p>
      <w:pPr>
        <w:pStyle w:val="BodyText"/>
      </w:pPr>
      <w:r>
        <w:rPr>
          <w:bCs/>
          <w:b/>
        </w:rPr>
        <w:t xml:space="preserve">Шар 1 (GFT + TGFT-RG):</w:t>
      </w:r>
      <w:r>
        <w:t xml:space="preserve"> </w:t>
      </w:r>
      <w:r>
        <w:t xml:space="preserve">провал → ν повертається до підгоночного параметра RVM. Каскадно-стадійна інтерпретація потребує цього шару; без нього масова вежа темної матерії має вільні відношення.</w:t>
      </w:r>
    </w:p>
    <w:p>
      <w:pPr>
        <w:pStyle w:val="BodyText"/>
      </w:pPr>
      <w:r>
        <w:rPr>
          <w:bCs/>
          <w:b/>
        </w:rPr>
        <w:t xml:space="preserve">Шар 2 (TN + HaPPY):</w:t>
      </w:r>
      <w:r>
        <w:t xml:space="preserve"> </w:t>
      </w:r>
      <w:r>
        <w:t xml:space="preserve">провал → EG (Jacobson–Verlinde). Голографічна структура стадії k = 4 — єдина обмежена, тож провал шару 2 менш серйозний у v2, ніж у v1.</w:t>
      </w:r>
    </w:p>
    <w:p>
      <w:pPr>
        <w:pStyle w:val="BodyText"/>
      </w:pPr>
      <w:r>
        <w:rPr>
          <w:bCs/>
          <w:b/>
        </w:rPr>
        <w:t xml:space="preserve">Шар 3 (SSM + AS + DA/O):</w:t>
      </w:r>
      <w:r>
        <w:t xml:space="preserve"> </w:t>
      </w:r>
      <w:r>
        <w:t xml:space="preserve">SSM провалюється → DA/O (верхня межа N ≤ 11 все ще тримається). DA/O провалюється → SSM окремо. Обидва провалюються → лише емпіричне визначення калібрувальної групи.</w:t>
      </w:r>
    </w:p>
    <w:p>
      <w:pPr>
        <w:pStyle w:val="BodyText"/>
      </w:pPr>
      <w:r>
        <w:rPr>
          <w:bCs/>
          <w:b/>
        </w:rPr>
        <w:t xml:space="preserve">Шар 4 (RVM + CCDR):</w:t>
      </w:r>
      <w:r>
        <w:t xml:space="preserve"> </w:t>
      </w:r>
      <w:r>
        <w:t xml:space="preserve">ν ≠ 10⁻³ → виживає з модифікованим ν (часування каскаду відповідно перемасштабовується). χ → 1 не запускає редукцію → каскадне ядро спростовано, всі структури виживають незалежно з втратою кристалографічної інтерпретації.</w:t>
      </w:r>
    </w:p>
    <w:p>
      <w:pPr>
        <w:pStyle w:val="BodyText"/>
      </w:pPr>
      <w:r>
        <w:rPr>
          <w:bCs/>
          <w:b/>
        </w:rPr>
        <w:t xml:space="preserve">Шар 5 (баріогенез):</w:t>
      </w:r>
      <w:r>
        <w:t xml:space="preserve"> </w:t>
      </w:r>
      <w:r>
        <w:t xml:space="preserve">провал → решта виживає.</w:t>
      </w:r>
    </w:p>
    <w:p>
      <w:pPr>
        <w:pStyle w:val="BodyText"/>
      </w:pPr>
      <w:r>
        <w:rPr>
          <w:bCs/>
          <w:b/>
        </w:rPr>
        <w:t xml:space="preserve">Жоден одиничний провал не знищує програму.</w:t>
      </w:r>
      <w:r>
        <w:t xml:space="preserve"> </w:t>
      </w:r>
      <w:r>
        <w:t xml:space="preserve">Каскадне ядро може бути спростоване лише прямим виявленням ТМ (нова умова виходу Шару 0) або відсутністю передбачуваних геометричних масових відношень (P27).</w:t>
      </w:r>
    </w:p>
    <w:bookmarkEnd w:id="44"/>
    <w:bookmarkStart w:id="45" w:name="Xf0bc1f73ecbd696034e4a8efd73b031b9272c0d"/>
    <w:p>
      <w:pPr>
        <w:pStyle w:val="Heading1"/>
      </w:pPr>
      <w:r>
        <w:t xml:space="preserve">5. Шляхи розв’язання для решти відкритих проблем (переглянуто)</w:t>
      </w:r>
    </w:p>
    <w:p>
      <w:pPr>
        <w:pStyle w:val="FirstParagraph"/>
      </w:pPr>
      <w:r>
        <w:rPr>
          <w:bCs/>
          <w:b/>
        </w:rPr>
        <w:t xml:space="preserve">Шлях 1 (було: точне N зі Свомпленду) → Шлях 1 (переглянутий): часування каскаду зі Свомпленду.</w:t>
      </w:r>
      <w:r>
        <w:t xml:space="preserve"> </w:t>
      </w:r>
      <w:r>
        <w:t xml:space="preserve">Гіпотеза відстані Свомпленду тепер обмежує</w:t>
      </w:r>
      <w:r>
        <w:t xml:space="preserve"> </w:t>
      </w:r>
      <w:r>
        <w:rPr>
          <w:iCs/>
          <w:i/>
        </w:rPr>
        <w:t xml:space="preserve">функцію часування</w:t>
      </w:r>
      <w:r>
        <w:t xml:space="preserve"> </w:t>
      </w:r>
      <w:r>
        <w:t xml:space="preserve">каскаду f(t), що керує R_k = c/H_k, а не саме ціле число N. N фіксується прямим виявленням, а не Свомплендом. Обмеження Свомпленду стає одним з кількох входів для обчислення передбачуваних відношень m_{k+1}/m_k.</w:t>
      </w:r>
      <w:r>
        <w:t xml:space="preserve"> </w:t>
      </w:r>
      <w:r>
        <w:rPr>
          <w:iCs/>
          <w:i/>
        </w:rPr>
        <w:t xml:space="preserve">Терміни:</w:t>
      </w:r>
      <w:r>
        <w:t xml:space="preserve"> </w:t>
      </w:r>
      <w:r>
        <w:t xml:space="preserve">1–2 роки.</w:t>
      </w:r>
    </w:p>
    <w:p>
      <w:pPr>
        <w:pStyle w:val="BodyText"/>
      </w:pPr>
      <w:r>
        <w:rPr>
          <w:bCs/>
          <w:b/>
        </w:rPr>
        <w:t xml:space="preserve">Шлях 2 (нейтринна ієрархія):</w:t>
      </w:r>
      <w:r>
        <w:t xml:space="preserve"> </w:t>
      </w:r>
      <w:r>
        <w:t xml:space="preserve">без змін. Дискретні ароматові симетрії як C_{6v} підгрупи, плюс SSM see-saw на CDT.</w:t>
      </w:r>
      <w:r>
        <w:t xml:space="preserve"> </w:t>
      </w:r>
      <w:r>
        <w:rPr>
          <w:iCs/>
          <w:i/>
        </w:rPr>
        <w:t xml:space="preserve">Терміни:</w:t>
      </w:r>
      <w:r>
        <w:t xml:space="preserve"> </w:t>
      </w:r>
      <w:r>
        <w:t xml:space="preserve">2–5 років.</w:t>
      </w:r>
    </w:p>
    <w:p>
      <w:pPr>
        <w:pStyle w:val="BodyText"/>
      </w:pPr>
      <w:r>
        <w:rPr>
          <w:bCs/>
          <w:b/>
        </w:rPr>
        <w:t xml:space="preserve">Шлях 3 (C_0 з перших принципів):</w:t>
      </w:r>
      <w:r>
        <w:t xml:space="preserve"> </w:t>
      </w:r>
      <w:r>
        <w:t xml:space="preserve">без змін у механізмі, але C_0 тепер інтерпретується як нульова енергія</w:t>
      </w:r>
      <w:r>
        <w:t xml:space="preserve"> </w:t>
      </w:r>
      <w:r>
        <w:rPr>
          <w:iCs/>
          <w:i/>
        </w:rPr>
        <w:t xml:space="preserve">лише часового кристала фінальної стадії</w:t>
      </w:r>
      <w:r>
        <w:t xml:space="preserve">. Раніші стадії мають власні нульові енергії, які поглинуті в історію каскаду.</w:t>
      </w:r>
      <w:r>
        <w:t xml:space="preserve"> </w:t>
      </w:r>
      <w:r>
        <w:rPr>
          <w:iCs/>
          <w:i/>
        </w:rPr>
        <w:t xml:space="preserve">Терміни:</w:t>
      </w:r>
      <w:r>
        <w:t xml:space="preserve"> </w:t>
      </w:r>
      <w:r>
        <w:t xml:space="preserve">3–5 років.</w:t>
      </w:r>
    </w:p>
    <w:p>
      <w:pPr>
        <w:pStyle w:val="BodyText"/>
      </w:pPr>
      <w:r>
        <w:rPr>
          <w:bCs/>
          <w:b/>
        </w:rPr>
        <w:t xml:space="preserve">Шлях 4 (сильна CP):</w:t>
      </w:r>
      <w:r>
        <w:t xml:space="preserve"> </w:t>
      </w:r>
      <w:r>
        <w:t xml:space="preserve">без змін. Алгебраїчна ренормалізація з оверлеп Дірак-оператором на CDT, застосована на фінальній стадії.</w:t>
      </w:r>
      <w:r>
        <w:t xml:space="preserve"> </w:t>
      </w:r>
      <w:r>
        <w:rPr>
          <w:iCs/>
          <w:i/>
        </w:rPr>
        <w:t xml:space="preserve">Терміни:</w:t>
      </w:r>
      <w:r>
        <w:t xml:space="preserve"> </w:t>
      </w:r>
      <w:r>
        <w:t xml:space="preserve">3–7 років.</w:t>
      </w:r>
    </w:p>
    <w:p>
      <w:pPr>
        <w:pStyle w:val="BodyText"/>
      </w:pPr>
      <w:r>
        <w:rPr>
          <w:bCs/>
          <w:b/>
        </w:rPr>
        <w:t xml:space="preserve">Шлях 5 (квантове вимірювання):</w:t>
      </w:r>
      <w:r>
        <w:t xml:space="preserve"> </w:t>
      </w:r>
      <w:r>
        <w:t xml:space="preserve">без змін. Гравітаційний колапс Діосі–Пенроуза, переосмислений як колапс кристалічного стану, застосовується на фінальній стадії.</w:t>
      </w:r>
      <w:r>
        <w:t xml:space="preserve"> </w:t>
      </w:r>
      <w:r>
        <w:rPr>
          <w:iCs/>
          <w:i/>
        </w:rPr>
        <w:t xml:space="preserve">Терміни:</w:t>
      </w:r>
      <w:r>
        <w:t xml:space="preserve"> </w:t>
      </w:r>
      <w:r>
        <w:t xml:space="preserve">1–3 роки (теорія), 5–10 років (експеримент).</w:t>
      </w:r>
    </w:p>
    <w:p>
      <w:pPr>
        <w:pStyle w:val="BodyText"/>
      </w:pPr>
      <w:r>
        <w:rPr>
          <w:bCs/>
          <w:b/>
        </w:rPr>
        <w:t xml:space="preserve">Шлях 6 (було: TGFT-RG для EPRL) → Шлях 6 (переглянутий): Бар–Штайнгаус стадія за стадією.</w:t>
      </w:r>
      <w:r>
        <w:t xml:space="preserve"> </w:t>
      </w:r>
      <w:r>
        <w:t xml:space="preserve">Спін-пінна RG Бара–Штайнгауса має реалізовуватися стадія за стадією, а не як єдина ціль збіжності. Прогноз v1</w:t>
      </w:r>
      <w:r>
        <w:t xml:space="preserve"> </w:t>
      </w:r>
      <w:r>
        <w:t xml:space="preserve">“</w:t>
      </w:r>
      <w:r>
        <w:t xml:space="preserve">γ сходиться до 1/4</w:t>
      </w:r>
      <w:r>
        <w:t xml:space="preserve">”</w:t>
      </w:r>
      <w:r>
        <w:t xml:space="preserve"> </w:t>
      </w:r>
      <w:r>
        <w:t xml:space="preserve">стає</w:t>
      </w:r>
      <w:r>
        <w:t xml:space="preserve"> </w:t>
      </w:r>
      <w:r>
        <w:t xml:space="preserve">“</w:t>
      </w:r>
      <w:r>
        <w:t xml:space="preserve">γ(k = 4) сходиться до 1/4</w:t>
      </w:r>
      <w:r>
        <w:t xml:space="preserve"> </w:t>
      </w:r>
      <w:r>
        <w:rPr>
          <w:iCs/>
          <w:i/>
        </w:rPr>
        <w:t xml:space="preserve">після усереднення залишкових внесків k = 5 і k = 6</w:t>
      </w:r>
      <w:r>
        <w:t xml:space="preserve">”</w:t>
      </w:r>
      <w:r>
        <w:t xml:space="preserve">. Поточний 9% розкид у P17 сумісний з цим.</w:t>
      </w:r>
      <w:r>
        <w:t xml:space="preserve"> </w:t>
      </w:r>
      <w:r>
        <w:rPr>
          <w:iCs/>
          <w:i/>
        </w:rPr>
        <w:t xml:space="preserve">Терміни:</w:t>
      </w:r>
      <w:r>
        <w:t xml:space="preserve"> </w:t>
      </w:r>
      <w:r>
        <w:t xml:space="preserve">2–3 роки.</w:t>
      </w:r>
    </w:p>
    <w:bookmarkEnd w:id="45"/>
    <w:bookmarkStart w:id="46" w:name="зведена-таблиця-змін"/>
    <w:p>
      <w:pPr>
        <w:pStyle w:val="Heading1"/>
      </w:pPr>
      <w:r>
        <w:t xml:space="preserve">6. Зведена таблиця змін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Елемент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(узгоджено з CCDR v6)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Зафіксовано на 6 трьома алгебраїчними шляхами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Емпіричний вихід з підрахунку піків ТМ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AQN k_eff = 1/6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Підраховує сектори → N =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Обмежує лише Ω_4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DA/O R + C + H =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Виводить N =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Надає верхню межу N ≤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Вимірність коду HaPPY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Калібрована до N =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Обмежена до k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Три шляхи дають 6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Теорема підрахунку з піків ТМ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P22 (γ-збіжність)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Єдина ціль 1/4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Стадія за стадією; лише k = 4 має сходитися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Шлях розв’язання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Свомпленд → точне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Свомпленд → часування каскаду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Шлях розв’язання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TGFT-RG → єдиний γ*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Бар–Штайнгаус стадія за стадією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Великий вибух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Одиничне N → 3+1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Каскад N → N−1 → … →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Ω_DM/Ω_B ≈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 видимий + 5 темних секторів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Сума по каскадних залишках</w:t>
            </w:r>
          </w:p>
        </w:tc>
      </w:tr>
    </w:tbl>
    <w:bookmarkEnd w:id="46"/>
    <w:bookmarkStart w:id="47" w:name="висновок"/>
    <w:p>
      <w:pPr>
        <w:pStyle w:val="Heading1"/>
      </w:pPr>
      <w:r>
        <w:t xml:space="preserve">7. Висновок</w:t>
      </w:r>
    </w:p>
    <w:p>
      <w:pPr>
        <w:pStyle w:val="FirstParagraph"/>
      </w:pPr>
      <w:r>
        <w:t xml:space="preserve">Синтез v2 структурно ідентичний v1 у його архітектурі 12 + 3 + 6, але</w:t>
      </w:r>
      <w:r>
        <w:t xml:space="preserve"> </w:t>
      </w:r>
      <w:r>
        <w:rPr>
          <w:iCs/>
          <w:i/>
        </w:rPr>
        <w:t xml:space="preserve">читання</w:t>
      </w:r>
      <w:r>
        <w:t xml:space="preserve"> </w:t>
      </w:r>
      <w:r>
        <w:t xml:space="preserve">трьох структур (AQN, DA/O, HaPPY) значно переглянуте, і два прогнози (P22, P25) переписані. Домінантна зміна — методологічна: N більше не стверджується алгебраїчним збігом, а визначається експериментом. Це коштує синтезу певної елегантності — збіг</w:t>
      </w:r>
      <w:r>
        <w:t xml:space="preserve"> </w:t>
      </w:r>
      <w:r>
        <w:t xml:space="preserve">“</w:t>
      </w:r>
      <w:r>
        <w:t xml:space="preserve">три шляхи дають 6</w:t>
      </w:r>
      <w:r>
        <w:t xml:space="preserve">”</w:t>
      </w:r>
      <w:r>
        <w:t xml:space="preserve"> </w:t>
      </w:r>
      <w:r>
        <w:t xml:space="preserve">був риторично потужним — але перетворює структуру з закритої нумерологічної системи на відкриту емпіричну програму. Лакатосівське тверде ядро (χ → 1 запускає вимірнісну редукцію, тепер стадія за стадією) збережене; захисний пояс перебудовано; альтернативні гілки і шляхи розв’язання незмінні за числом, але оновлені за змістом.</w:t>
      </w:r>
    </w:p>
    <w:p>
      <w:pPr>
        <w:pStyle w:val="BodyText"/>
      </w:pPr>
      <w:r>
        <w:t xml:space="preserve">Найбільш діагностичним експериментом для синтезу v2 є пряме виявлення темної матерії з достатньою масовою досяжністю для розрізнення другого піка. Що б він не знайшов — один пік, два, більше, або піки з негеометричними відношеннями — він зафіксує N емпірично і або підтвердить каскадну картину, або спростує її чисто.</w:t>
      </w:r>
    </w:p>
    <w:bookmarkEnd w:id="47"/>
    <w:bookmarkStart w:id="48" w:name="посилання"/>
    <w:p>
      <w:pPr>
        <w:pStyle w:val="Heading1"/>
      </w:pPr>
      <w:r>
        <w:t xml:space="preserve">Посилання</w:t>
      </w:r>
    </w:p>
    <w:p>
      <w:pPr>
        <w:pStyle w:val="FirstParagraph"/>
      </w:pPr>
      <w:r>
        <w:t xml:space="preserve">Ідентичні до v1; додатково всі посилання CCDR v6.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Рукопис підготовлено для подвійного сліпого рецензування. Імена авторів приховані.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Розширений кристалографічний синтез (v2, узгоджено з CCDR v6)</dc:title>
  <dc:creator>[Імена авторів приховано]</dc:creator>
  <dc:language>uk</dc:language>
  <cp:keywords/>
  <dcterms:created xsi:type="dcterms:W3CDTF">2026-04-10T19:50:42Z</dcterms:created>
  <dcterms:modified xsi:type="dcterms:W3CDTF">2026-04-10T19:50:42Z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Березень 2026</vt:lpwstr>
  </property>
  <property fmtid="{D5CDD505-2E9C-101B-9397-08002B2CF9AE}" pid="3" name="subtitle">
    <vt:lpwstr>12 первинних структур, 3 альтернативні гілки, 6 шляхів розв’язання — з N як емпіричним виходом</vt:lpwstr>
  </property>
</Properties>
</file>