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Розширений</w:t>
      </w:r>
      <w:r>
        <w:t xml:space="preserve"> </w:t>
      </w:r>
      <w:r>
        <w:t xml:space="preserve">кристалографічний</w:t>
      </w:r>
      <w:r>
        <w:t xml:space="preserve"> </w:t>
      </w:r>
      <w:r>
        <w:t xml:space="preserve">синтез</w:t>
      </w:r>
      <w:r>
        <w:t xml:space="preserve"> </w:t>
      </w:r>
      <w:r>
        <w:t xml:space="preserve">(v3.2)</w:t>
      </w:r>
    </w:p>
    <w:p>
      <w:pPr>
        <w:pStyle w:val="Subtitle"/>
      </w:pPr>
      <w:r>
        <w:t xml:space="preserve">12</w:t>
      </w:r>
      <w:r>
        <w:t xml:space="preserve"> </w:t>
      </w:r>
      <w:r>
        <w:t xml:space="preserve">первинних</w:t>
      </w:r>
      <w:r>
        <w:t xml:space="preserve"> </w:t>
      </w:r>
      <w:r>
        <w:t xml:space="preserve">структур,</w:t>
      </w:r>
      <w:r>
        <w:t xml:space="preserve"> </w:t>
      </w:r>
      <w:r>
        <w:t xml:space="preserve">3</w:t>
      </w:r>
      <w:r>
        <w:t xml:space="preserve"> </w:t>
      </w:r>
      <w:r>
        <w:t xml:space="preserve">альтернативні</w:t>
      </w:r>
      <w:r>
        <w:t xml:space="preserve"> </w:t>
      </w:r>
      <w:r>
        <w:t xml:space="preserve">гілки,</w:t>
      </w:r>
      <w:r>
        <w:t xml:space="preserve"> </w:t>
      </w:r>
      <w:r>
        <w:t xml:space="preserve">6</w:t>
      </w:r>
      <w:r>
        <w:t xml:space="preserve"> </w:t>
      </w:r>
      <w:r>
        <w:t xml:space="preserve">шляхів</w:t>
      </w:r>
      <w:r>
        <w:t xml:space="preserve"> </w:t>
      </w:r>
      <w:r>
        <w:t xml:space="preserve">розв’язання</w:t>
      </w:r>
      <w:r>
        <w:t xml:space="preserve"> </w:t>
      </w:r>
      <w:r>
        <w:t xml:space="preserve">—</w:t>
      </w:r>
      <w:r>
        <w:t xml:space="preserve"> </w:t>
      </w:r>
      <w:r>
        <w:t xml:space="preserve">з</w:t>
      </w:r>
      <w:r>
        <w:t xml:space="preserve"> </w:t>
      </w:r>
      <w:r>
        <w:t xml:space="preserve">5-шаровою</w:t>
      </w:r>
      <w:r>
        <w:t xml:space="preserve"> </w:t>
      </w:r>
      <w:r>
        <w:t xml:space="preserve">спростовністю,</w:t>
      </w:r>
      <w:r>
        <w:t xml:space="preserve"> </w:t>
      </w:r>
      <w:r>
        <w:t xml:space="preserve">ланцюгом</w:t>
      </w:r>
      <w:r>
        <w:t xml:space="preserve"> </w:t>
      </w:r>
      <w:r>
        <w:t xml:space="preserve">рівнянь</w:t>
      </w:r>
      <w:r>
        <w:t xml:space="preserve"> </w:t>
      </w:r>
      <w:r>
        <w:t xml:space="preserve">і</w:t>
      </w:r>
      <w:r>
        <w:t xml:space="preserve"> </w:t>
      </w:r>
      <w:r>
        <w:t xml:space="preserve">зобов’язанням</w:t>
      </w:r>
      <w:r>
        <w:t xml:space="preserve"> </w:t>
      </w:r>
      <w:r>
        <w:t xml:space="preserve">спостереження</w:t>
      </w:r>
      <w:r>
        <w:t xml:space="preserve"> </w:t>
      </w:r>
      <w:r>
        <w:t xml:space="preserve">насамперед</w:t>
      </w:r>
    </w:p>
    <w:p>
      <w:pPr>
        <w:pStyle w:val="Author"/>
      </w:pPr>
      <w:r>
        <w:t xml:space="preserve">[Імена</w:t>
      </w:r>
      <w:r>
        <w:t xml:space="preserve"> </w:t>
      </w:r>
      <w:r>
        <w:t xml:space="preserve">авторів</w:t>
      </w:r>
      <w:r>
        <w:t xml:space="preserve"> </w:t>
      </w:r>
      <w:r>
        <w:t xml:space="preserve">приховано]</w:t>
      </w:r>
    </w:p>
    <w:p>
      <w:pPr>
        <w:pStyle w:val="Date"/>
      </w:pPr>
      <w:r>
        <w:t xml:space="preserve">Квітень</w:t>
      </w:r>
      <w:r>
        <w:t xml:space="preserve"> </w:t>
      </w:r>
      <w:r>
        <w:t xml:space="preserve">2026</w:t>
      </w:r>
    </w:p>
    <w:bookmarkStart w:id="20" w:name="анотація"/>
    <w:p>
      <w:pPr>
        <w:pStyle w:val="Heading1"/>
      </w:pPr>
      <w:r>
        <w:t xml:space="preserve">Анотація</w:t>
      </w:r>
    </w:p>
    <w:p>
      <w:pPr>
        <w:pStyle w:val="FirstParagraph"/>
      </w:pPr>
      <w:r>
        <w:t xml:space="preserve">Синтез v3.2 — поточна архітектура програми дванадцяти структур, трьох гілок, шести шляхів, заякорена на CCDR v7.2. Архітектура структурована навколо трьох принципів: (1) N — спостережувана, що визначається підрахунком піків; (2) вимірнісні редукції локальні, асинхронні, потенційно триваючі; (3) фреймворк забороняє НСС та поважає направленість часу. Дванадцять структур ярусовані за спостережувальною близькістю (3 яруси) і перетнуті ієрархією спростування (5 шарів). Три замінні гілки, шість шляхів розв’язання, повний ланцюг рівнянь, 31 прогноз.</w:t>
      </w:r>
    </w:p>
    <w:bookmarkEnd w:id="20"/>
    <w:bookmarkStart w:id="24" w:name="первинних-структур"/>
    <w:p>
      <w:pPr>
        <w:pStyle w:val="Heading1"/>
      </w:pPr>
      <w:r>
        <w:t xml:space="preserve">1. 12 первинних структур</w:t>
      </w:r>
    </w:p>
    <w:bookmarkStart w:id="21" w:name="ярус-1-спостережувально-заякорені"/>
    <w:p>
      <w:pPr>
        <w:pStyle w:val="Heading2"/>
      </w:pPr>
      <w:r>
        <w:t xml:space="preserve">Ярус 1 — Спостережувально заякорені</w:t>
      </w:r>
    </w:p>
    <w:p>
      <w:pPr>
        <w:pStyle w:val="FirstParagraph"/>
      </w:pPr>
      <w:r>
        <w:rPr>
          <w:bCs/>
          <w:b/>
        </w:rPr>
        <w:t xml:space="preserve">1.1 CCDR (2026).</w:t>
      </w:r>
      <w:r>
        <w:t xml:space="preserve"> </w:t>
      </w:r>
      <w:r>
        <w:t xml:space="preserve">χ_k → 1 запускає редукцію. Закріплено: a₀ → Мілгром (підтверджено); κ Euclid Q1 (+12.99σ, навідне); високо-z a₀ (навідний тренд).</w:t>
      </w:r>
    </w:p>
    <w:p>
      <w:pPr>
        <w:pStyle w:val="BodyText"/>
      </w:pPr>
      <w:r>
        <w:rPr>
          <w:bCs/>
          <w:b/>
        </w:rPr>
        <w:t xml:space="preserve">1.2 RVM — Shapiro &amp; Solà (2002).</w:t>
      </w:r>
      <w:r>
        <w:t xml:space="preserve"> </w:t>
      </w:r>
      <w:r>
        <w:t xml:space="preserve">ρ_vac(H) = C₀ + νm²H²/M²_pl. ν у діапазоні 10⁻³–10⁻², ймовірний систематичний.</w:t>
      </w:r>
    </w:p>
    <w:p>
      <w:pPr>
        <w:pStyle w:val="BodyText"/>
      </w:pPr>
      <w:r>
        <w:rPr>
          <w:bCs/>
          <w:b/>
        </w:rPr>
        <w:t xml:space="preserve">1.3 AS — Weinberg (1979), Reuter (1998).</w:t>
      </w:r>
      <w:r>
        <w:t xml:space="preserve"> </w:t>
      </w:r>
      <w:r>
        <w:t xml:space="preserve">УФ фіксована точка G*. Закріплено непрямо.</w:t>
      </w:r>
    </w:p>
    <w:bookmarkEnd w:id="21"/>
    <w:bookmarkStart w:id="22" w:name="ярус-2-структурно-зобовязані"/>
    <w:p>
      <w:pPr>
        <w:pStyle w:val="Heading2"/>
      </w:pPr>
      <w:r>
        <w:t xml:space="preserve">Ярус 2 — Структурно зобов’язані</w:t>
      </w:r>
    </w:p>
    <w:p>
      <w:pPr>
        <w:pStyle w:val="FirstParagraph"/>
      </w:pPr>
      <w:r>
        <w:rPr>
          <w:bCs/>
          <w:b/>
        </w:rPr>
        <w:t xml:space="preserve">1.4 CDT — Ambjørn et al. (2004).</w:t>
      </w:r>
      <w:r>
        <w:t xml:space="preserve"> </w:t>
      </w:r>
      <w:r>
        <w:t xml:space="preserve">Симпліціальний інтеграл шляху. Фази A/B/C/C_b. Має вмістити конфігурації змішаної вимірності.</w:t>
      </w:r>
    </w:p>
    <w:p>
      <w:pPr>
        <w:pStyle w:val="BodyText"/>
      </w:pPr>
      <w:r>
        <w:rPr>
          <w:bCs/>
          <w:b/>
        </w:rPr>
        <w:t xml:space="preserve">1.5 TN — Ryu &amp; Takayanagi (2006).</w:t>
      </w:r>
      <w:r>
        <w:t xml:space="preserve"> </w:t>
      </w:r>
      <w:r>
        <w:t xml:space="preserve">S = Площа/4G. Обмежено до k = 4.</w:t>
      </w:r>
    </w:p>
    <w:p>
      <w:pPr>
        <w:pStyle w:val="BodyText"/>
      </w:pPr>
      <w:r>
        <w:rPr>
          <w:bCs/>
          <w:b/>
        </w:rPr>
        <w:t xml:space="preserve">1.6 GFT + EPRL — Oriti (2007), EPRL (2008).</w:t>
      </w:r>
      <w:r>
        <w:t xml:space="preserve"> </w:t>
      </w:r>
      <w:r>
        <w:t xml:space="preserve">Конденсат → ν. Хіральна амплітуда → f_geo.</w:t>
      </w:r>
    </w:p>
    <w:p>
      <w:pPr>
        <w:pStyle w:val="BodyText"/>
      </w:pPr>
      <w:r>
        <w:rPr>
          <w:bCs/>
          <w:b/>
        </w:rPr>
        <w:t xml:space="preserve">1.7 TGFT-RG — Ben Geloun &amp; Rivasseau (2012).</w:t>
      </w:r>
      <w:r>
        <w:t xml:space="preserve"> </w:t>
      </w:r>
      <w:r>
        <w:t xml:space="preserve">Вільсонівська RG. Розблоковано.</w:t>
      </w:r>
    </w:p>
    <w:p>
      <w:pPr>
        <w:pStyle w:val="BodyText"/>
      </w:pPr>
      <w:r>
        <w:rPr>
          <w:bCs/>
          <w:b/>
        </w:rPr>
        <w:t xml:space="preserve">1.8 SSM — Connes (1996).</w:t>
      </w:r>
      <w:r>
        <w:t xml:space="preserve"> </w:t>
      </w:r>
      <w:r>
        <w:t xml:space="preserve">L_SM з спектральної дії. Зобов’язання: секторо-залежні шкали Койде.</w:t>
      </w:r>
    </w:p>
    <w:bookmarkEnd w:id="22"/>
    <w:bookmarkStart w:id="23" w:name="Xfbe7698c76bd3bd97b9552144130378c103e4d7"/>
    <w:p>
      <w:pPr>
        <w:pStyle w:val="Heading2"/>
      </w:pPr>
      <w:r>
        <w:t xml:space="preserve">Ярус 3 — Алгебраїчні, перевірки узгодженості</w:t>
      </w:r>
    </w:p>
    <w:p>
      <w:pPr>
        <w:pStyle w:val="FirstParagraph"/>
      </w:pPr>
      <w:r>
        <w:rPr>
          <w:bCs/>
          <w:b/>
        </w:rPr>
        <w:t xml:space="preserve">1.9 AQN — Zhitnitsky (2003).</w:t>
      </w:r>
      <w:r>
        <w:t xml:space="preserve"> </w:t>
      </w:r>
      <w:r>
        <w:t xml:space="preserve">Внесок до Ω_4. Не рахує сектори.</w:t>
      </w:r>
    </w:p>
    <w:p>
      <w:pPr>
        <w:pStyle w:val="BodyText"/>
      </w:pPr>
      <w:r>
        <w:rPr>
          <w:bCs/>
          <w:b/>
        </w:rPr>
        <w:t xml:space="preserve">1.10 DA/O — Furey (2012/2018).</w:t>
      </w:r>
      <w:r>
        <w:t xml:space="preserve"> </w:t>
      </w:r>
      <w:r>
        <w:t xml:space="preserve">Верхня межа N ≤ 11. Не фіксує N.</w:t>
      </w:r>
    </w:p>
    <w:p>
      <w:pPr>
        <w:pStyle w:val="BodyText"/>
      </w:pPr>
      <w:r>
        <w:rPr>
          <w:bCs/>
          <w:b/>
        </w:rPr>
        <w:t xml:space="preserve">1.11 HaPPY — Pastawski et al. (2015).</w:t>
      </w:r>
      <w:r>
        <w:t xml:space="preserve"> </w:t>
      </w:r>
      <w:r>
        <w:t xml:space="preserve">Обмежено до k = 4. Калібрування</w:t>
      </w:r>
      <w:r>
        <w:t xml:space="preserve"> </w:t>
      </w:r>
      <w:r>
        <w:t xml:space="preserve">“</w:t>
      </w:r>
      <w:r>
        <w:t xml:space="preserve">N = 6</w:t>
      </w:r>
      <w:r>
        <w:t xml:space="preserve">”</w:t>
      </w:r>
      <w:r>
        <w:t xml:space="preserve"> </w:t>
      </w:r>
      <w:r>
        <w:t xml:space="preserve">видалено.</w:t>
      </w:r>
    </w:p>
    <w:p>
      <w:pPr>
        <w:pStyle w:val="BodyText"/>
      </w:pPr>
      <w:r>
        <w:rPr>
          <w:bCs/>
          <w:b/>
        </w:rPr>
        <w:t xml:space="preserve">1.12 LGT — Wilson (1974).</w:t>
      </w:r>
      <w:r>
        <w:t xml:space="preserve"> </w:t>
      </w:r>
      <w:r>
        <w:t xml:space="preserve">Обчислювальний рушій.</w:t>
      </w:r>
    </w:p>
    <w:bookmarkEnd w:id="23"/>
    <w:bookmarkEnd w:id="24"/>
    <w:bookmarkStart w:id="26" w:name="три-альтернативні-замінні-гілки"/>
    <w:p>
      <w:pPr>
        <w:pStyle w:val="Heading1"/>
      </w:pPr>
      <w:r>
        <w:t xml:space="preserve">2. Три альтернативні замінні гілки</w:t>
      </w:r>
    </w:p>
    <w:p>
      <w:pPr>
        <w:pStyle w:val="FirstParagraph"/>
      </w:pPr>
      <w:r>
        <w:rPr>
          <w:bCs/>
          <w:b/>
        </w:rPr>
        <w:t xml:space="preserve">2.1 CST ↔ CDT — Bombelli et al. (1987).</w:t>
      </w:r>
      <w:r>
        <w:t xml:space="preserve"> </w:t>
      </w:r>
      <w:r>
        <w:t xml:space="preserve">Простір-час як посет. Природна відповідність локально-асинхронним редукціям. Замінити при провалі C-фази CDT. Отримує: Λ від Соркіна. Втрачає: ЗБ, фононну картину.</w:t>
      </w:r>
    </w:p>
    <w:p>
      <w:pPr>
        <w:pStyle w:val="BodyText"/>
      </w:pPr>
      <w:r>
        <w:rPr>
          <w:bCs/>
          <w:b/>
        </w:rPr>
        <w:t xml:space="preserve">2.2 EG ↔ CDT+TN — Jacobson (1995), Verlinde (2011).</w:t>
      </w:r>
      <w:r>
        <w:t xml:space="preserve"> </w:t>
      </w:r>
      <w:r>
        <w:t xml:space="preserve">Рівняння Ейнштейна з δQ = TdS. MOND від ентропії заплутування. Локальне a₀ закріплюється тут теж.</w:t>
      </w:r>
    </w:p>
    <w:p>
      <w:pPr>
        <w:pStyle w:val="BodyText"/>
      </w:pPr>
      <w:r>
        <w:rPr>
          <w:bCs/>
          <w:b/>
        </w:rPr>
        <w:t xml:space="preserve">2.3 CFS ↔ CDT — Finster (2006).</w:t>
      </w:r>
      <w:r>
        <w:t xml:space="preserve"> </w:t>
      </w:r>
      <w:r>
        <w:t xml:space="preserve">Простір-час з операторної міри. Найгнучкіша для локально-асинхронних редукцій.</w:t>
      </w:r>
    </w:p>
    <w:bookmarkStart w:id="25" w:name="таблиця-замін"/>
    <w:p>
      <w:pPr>
        <w:pStyle w:val="Heading2"/>
      </w:pPr>
      <w:r>
        <w:t xml:space="preserve">Таблиця замін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Первинний провалюється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Замінити 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CCDR виживає?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CDT → 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CDT → CFS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(переінтерпретовано)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CDT+TN → 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GFT провалюється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Так, ν → підгоночний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SSM провалюється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Так, калібрувальна група від DA/O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Ядро CCDR провалюється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Усі виживають незалежно</w:t>
            </w:r>
          </w:p>
        </w:tc>
      </w:tr>
    </w:tbl>
    <w:bookmarkEnd w:id="25"/>
    <w:bookmarkEnd w:id="26"/>
    <w:bookmarkStart w:id="29" w:name="повний-ланцюг-рівнянь"/>
    <w:p>
      <w:pPr>
        <w:pStyle w:val="Heading1"/>
      </w:pPr>
      <w:r>
        <w:t xml:space="preserve">3. Повний ланцюг рівнянь</w:t>
      </w:r>
    </w:p>
    <w:p>
      <w:pPr>
        <w:pStyle w:val="FirstParagraph"/>
      </w:pPr>
      <w:r>
        <w:t xml:space="preserve">CDT симплекси → S₅ → D_CDT → Tr(f(D/Λ)) = L_SM [SSM]</w:t>
      </w:r>
      <w:r>
        <w:t xml:space="preserve"> </w:t>
      </w:r>
      <w:r>
        <w:t xml:space="preserve">→ крос-перевірка: C ⊗ H ⊗ O → та ж калібрувальна група [DA/O]</w:t>
      </w:r>
      <w:r>
        <w:t xml:space="preserve"> </w:t>
      </w:r>
      <w:r>
        <w:t xml:space="preserve">→ G</w:t>
      </w:r>
      <w:r>
        <w:rPr>
          <w:iCs/>
          <w:i/>
        </w:rPr>
        <w:t xml:space="preserve">, α</w:t>
      </w:r>
      <w:r>
        <w:t xml:space="preserve"> </w:t>
      </w:r>
      <w:r>
        <w:t xml:space="preserve">[AS] → RG біг → α = 1/137 [LGT]</w:t>
      </w:r>
      <w:r>
        <w:t xml:space="preserve"> </w:t>
      </w:r>
      <w:r>
        <w:t xml:space="preserve">→ TN, D_eff → e^{1/4} [TN] → GFT конденсат → ν [TGFT-RG]</w:t>
      </w:r>
      <w:r>
        <w:t xml:space="preserve"> </w:t>
      </w:r>
      <w:r>
        <w:t xml:space="preserve">→ EPRL хіральна амплітуда → f_geo → γ збіжність [TGFT-RG]</w:t>
      </w:r>
      <w:r>
        <w:t xml:space="preserve"> </w:t>
      </w:r>
      <w:r>
        <w:t xml:space="preserve">→ ρ_vac(H) [RVM] → χ → 1, нуклеація кристала [CCDR]</w:t>
      </w:r>
      <w:r>
        <w:t xml:space="preserve"> </w:t>
      </w:r>
      <w:r>
        <w:t xml:space="preserve">→ PQ → EW → QCD = AQN [каскад кристалізації]</w:t>
      </w:r>
      <w:r>
        <w:t xml:space="preserve"> </w:t>
      </w:r>
      <w:r>
        <w:t xml:space="preserve">→ η ~ ν × δ_CP × f_geo ~ 10⁻¹⁰ [усі структури]</w:t>
      </w:r>
      <w:r>
        <w:t xml:space="preserve"> </w:t>
      </w:r>
      <w:r>
        <w:t xml:space="preserve">→ HaPPY QEC → BAO (δr</w:t>
      </w:r>
      <w:r>
        <w:rPr>
          <w:iCs/>
          <w:i/>
        </w:rPr>
        <w:t xml:space="preserve">/r</w:t>
      </w:r>
      <w:r>
        <w:t xml:space="preserve"> </w:t>
      </w:r>
      <w:r>
        <w:t xml:space="preserve">~ ν/2)</w:t>
      </w:r>
      <w:r>
        <w:t xml:space="preserve"> </w:t>
      </w:r>
      <w:r>
        <w:t xml:space="preserve">→ MOND (a₀ → Мілгром локально, → cH₀ асимптотично)</w:t>
      </w:r>
      <w:r>
        <w:t xml:space="preserve"> </w:t>
      </w:r>
      <w:r>
        <w:t xml:space="preserve">→ dS випаровування в об’єм [CCDR/RVM]</w:t>
      </w:r>
    </w:p>
    <w:p>
      <w:pPr>
        <w:pStyle w:val="BodyText"/>
      </w:pPr>
      <w:r>
        <w:t xml:space="preserve">Кожна ланка обчислювана. Кожен прогноз спростовний.</w:t>
      </w:r>
    </w:p>
    <w:bookmarkStart w:id="27" w:name="фундаментальні-обмеження"/>
    <w:p>
      <w:pPr>
        <w:pStyle w:val="Heading2"/>
      </w:pPr>
      <w:r>
        <w:t xml:space="preserve">3.1 Фундаментальні обмеження</w:t>
      </w:r>
    </w:p>
    <w:p>
      <w:pPr>
        <w:pStyle w:val="FirstParagraph"/>
      </w:pPr>
      <w:r>
        <w:t xml:space="preserve">Фреймворк забороняє НСС (наслідок голографічної межі) і поважає термодинамічну направленість часу (наслідок монотонного охолодження RVM). CDT забезпечує причинну фоліацію, що виключає ЗЧК.</w:t>
      </w:r>
    </w:p>
    <w:bookmarkEnd w:id="27"/>
    <w:bookmarkStart w:id="28" w:name="застереження-про-редукційний-обєм"/>
    <w:p>
      <w:pPr>
        <w:pStyle w:val="Heading2"/>
      </w:pPr>
      <w:r>
        <w:t xml:space="preserve">3.2 Застереження про редукційний об’єм</w:t>
      </w:r>
    </w:p>
    <w:p>
      <w:pPr>
        <w:pStyle w:val="FirstParagraph"/>
      </w:pPr>
      <w:r>
        <w:t xml:space="preserve">Підрахунок піків дає N лише за повної вибірки об’ємних видів. Якщо деякі види відсутні в нашому редукційному об’ємі, темний сектор недораховує N − 4.</w:t>
      </w:r>
    </w:p>
    <w:bookmarkEnd w:id="28"/>
    <w:bookmarkEnd w:id="29"/>
    <w:bookmarkStart w:id="30" w:name="пятишарова-ієрархія-спростовності"/>
    <w:p>
      <w:pPr>
        <w:pStyle w:val="Heading1"/>
      </w:pPr>
      <w:r>
        <w:t xml:space="preserve">4. П’ятишарова ієрархія спростовності</w:t>
      </w:r>
    </w:p>
    <w:p>
      <w:pPr>
        <w:pStyle w:val="FirstParagraph"/>
      </w:pPr>
      <w:r>
        <w:rPr>
          <w:bCs/>
          <w:b/>
        </w:rPr>
        <w:t xml:space="preserve">Шар 0 — CDT + каскадне ядро.</w:t>
      </w:r>
      <w:r>
        <w:t xml:space="preserve"> </w:t>
      </w:r>
      <w:r>
        <w:t xml:space="preserve">Спростування: відсутність C-фази; негеометричні масові відношення. Вихід: CST або CFS.</w:t>
      </w:r>
      <w:r>
        <w:t xml:space="preserve"> </w:t>
      </w:r>
      <w:r>
        <w:rPr>
          <w:iCs/>
          <w:i/>
        </w:rPr>
        <w:t xml:space="preserve">Статус:</w:t>
      </w:r>
      <w:r>
        <w:t xml:space="preserve"> </w:t>
      </w:r>
      <w:r>
        <w:t xml:space="preserve">непротестовано (0 таблиць у вікні 0.5–3 ТеВ).</w:t>
      </w:r>
    </w:p>
    <w:p>
      <w:pPr>
        <w:pStyle w:val="BodyText"/>
      </w:pPr>
      <w:r>
        <w:rPr>
          <w:bCs/>
          <w:b/>
        </w:rPr>
        <w:t xml:space="preserve">Шар 1 — GFT + TGFT-RG.</w:t>
      </w:r>
      <w:r>
        <w:t xml:space="preserve"> </w:t>
      </w:r>
      <w:r>
        <w:t xml:space="preserve">Спростування: ν від TGFT-RG суперечить емпіричному; γ розбігається.</w:t>
      </w:r>
      <w:r>
        <w:t xml:space="preserve"> </w:t>
      </w:r>
      <w:r>
        <w:rPr>
          <w:iCs/>
          <w:i/>
        </w:rPr>
        <w:t xml:space="preserve">Статус:</w:t>
      </w:r>
      <w:r>
        <w:t xml:space="preserve"> </w:t>
      </w:r>
      <w:r>
        <w:t xml:space="preserve">аудит ν закрито; центральне значення ймовірно систематичне.</w:t>
      </w:r>
    </w:p>
    <w:p>
      <w:pPr>
        <w:pStyle w:val="BodyText"/>
      </w:pPr>
      <w:r>
        <w:rPr>
          <w:bCs/>
          <w:b/>
        </w:rPr>
        <w:t xml:space="preserve">Шар 2 — TN + HaPPY.</w:t>
      </w:r>
      <w:r>
        <w:t xml:space="preserve"> </w:t>
      </w:r>
      <w:r>
        <w:t xml:space="preserve">Спростування: RT формула провалюється в CDT C-фазі. Вихід: EG.</w:t>
      </w:r>
      <w:r>
        <w:t xml:space="preserve"> </w:t>
      </w:r>
      <w:r>
        <w:rPr>
          <w:iCs/>
          <w:i/>
        </w:rPr>
        <w:t xml:space="preserve">Статус:</w:t>
      </w:r>
      <w:r>
        <w:t xml:space="preserve"> </w:t>
      </w:r>
      <w:r>
        <w:t xml:space="preserve">непротестовано.</w:t>
      </w:r>
    </w:p>
    <w:p>
      <w:pPr>
        <w:pStyle w:val="BodyText"/>
      </w:pPr>
      <w:r>
        <w:rPr>
          <w:bCs/>
          <w:b/>
        </w:rPr>
        <w:t xml:space="preserve">Шар 3 — SSM + AS + DA/O.</w:t>
      </w:r>
      <w:r>
        <w:t xml:space="preserve"> </w:t>
      </w:r>
      <w:r>
        <w:t xml:space="preserve">Спростування: калібрувальні зв’язки невірні.</w:t>
      </w:r>
      <w:r>
        <w:t xml:space="preserve"> </w:t>
      </w:r>
      <w:r>
        <w:rPr>
          <w:iCs/>
          <w:i/>
        </w:rPr>
        <w:t xml:space="preserve">Статус:</w:t>
      </w:r>
      <w:r>
        <w:t xml:space="preserve"> </w:t>
      </w:r>
      <w:r>
        <w:t xml:space="preserve">сумісно. Нове зобов’язання: секторо-залежні шкали Койде.</w:t>
      </w:r>
    </w:p>
    <w:p>
      <w:pPr>
        <w:pStyle w:val="BodyText"/>
      </w:pPr>
      <w:r>
        <w:rPr>
          <w:bCs/>
          <w:b/>
        </w:rPr>
        <w:t xml:space="preserve">Шар 4 — RVM + CCDR.</w:t>
      </w:r>
      <w:r>
        <w:t xml:space="preserve"> </w:t>
      </w:r>
      <w:r>
        <w:t xml:space="preserve">Спростування: ν &lt; 0; χ → 1 ніколи не запускає.</w:t>
      </w:r>
      <w:r>
        <w:t xml:space="preserve"> </w:t>
      </w:r>
      <w:r>
        <w:rPr>
          <w:iCs/>
          <w:i/>
        </w:rPr>
        <w:t xml:space="preserve">Статус:</w:t>
      </w:r>
      <w:r>
        <w:t xml:space="preserve"> </w:t>
      </w:r>
      <w:r>
        <w:t xml:space="preserve">частково підтверджено (a₀, κ Euclid, високо-z тренд). Кілька відкликань.</w:t>
      </w:r>
    </w:p>
    <w:p>
      <w:pPr>
        <w:pStyle w:val="BodyText"/>
      </w:pPr>
      <w:r>
        <w:rPr>
          <w:bCs/>
          <w:b/>
        </w:rPr>
        <w:t xml:space="preserve">Шар 5 — Баріогенез.</w:t>
      </w:r>
      <w:r>
        <w:t xml:space="preserve"> </w:t>
      </w:r>
      <w:r>
        <w:t xml:space="preserve">η ~ ν × δ_CP × f_geo ~ 10⁻¹⁰.</w:t>
      </w:r>
      <w:r>
        <w:t xml:space="preserve"> </w:t>
      </w:r>
      <w:r>
        <w:rPr>
          <w:iCs/>
          <w:i/>
        </w:rPr>
        <w:t xml:space="preserve">Статус:</w:t>
      </w:r>
      <w:r>
        <w:t xml:space="preserve"> </w:t>
      </w:r>
      <w:r>
        <w:t xml:space="preserve">наближено сумісний.</w:t>
      </w:r>
    </w:p>
    <w:p>
      <w:pPr>
        <w:pStyle w:val="BodyText"/>
      </w:pPr>
      <w:r>
        <w:rPr>
          <w:bCs/>
          <w:b/>
        </w:rPr>
        <w:t xml:space="preserve">Жоден шар не спростовано.</w:t>
      </w:r>
      <w:r>
        <w:t xml:space="preserve"> </w:t>
      </w:r>
      <w:r>
        <w:t xml:space="preserve">Тверде ядро каскаду — діагностичний тест.</w:t>
      </w:r>
    </w:p>
    <w:bookmarkEnd w:id="30"/>
    <w:bookmarkStart w:id="31" w:name="шість-шляхів-розвязання"/>
    <w:p>
      <w:pPr>
        <w:pStyle w:val="Heading1"/>
      </w:pPr>
      <w:r>
        <w:t xml:space="preserve">5. Шість шляхів розв’язання</w:t>
      </w:r>
    </w:p>
    <w:p>
      <w:pPr>
        <w:pStyle w:val="FirstParagraph"/>
      </w:pPr>
      <w:r>
        <w:rPr>
          <w:bCs/>
          <w:b/>
        </w:rPr>
        <w:t xml:space="preserve">5.1 Шлях 1 — Свомпленд → часування каскаду.</w:t>
      </w:r>
      <w:r>
        <w:t xml:space="preserve"> </w:t>
      </w:r>
      <w:r>
        <w:t xml:space="preserve">Обмежує f(t). Розблоковано. 1–2 роки.</w:t>
      </w:r>
    </w:p>
    <w:p>
      <w:pPr>
        <w:pStyle w:val="BodyText"/>
      </w:pPr>
      <w:r>
        <w:rPr>
          <w:bCs/>
          <w:b/>
        </w:rPr>
        <w:t xml:space="preserve">5.2 Шлях 2 — Дискретні ароматові симетрії → нейтринна ієрархія.</w:t>
      </w:r>
      <w:r>
        <w:t xml:space="preserve"> </w:t>
      </w:r>
      <w:r>
        <w:t xml:space="preserve">SSM see-saw на CDT з гексагональною ЗБ. 2–5 років.</w:t>
      </w:r>
    </w:p>
    <w:p>
      <w:pPr>
        <w:pStyle w:val="BodyText"/>
      </w:pPr>
      <w:r>
        <w:rPr>
          <w:bCs/>
          <w:b/>
        </w:rPr>
        <w:t xml:space="preserve">5.3 Шлях 3 — CST Sorkin + HH на CDT → C₀.</w:t>
      </w:r>
      <w:r>
        <w:t xml:space="preserve"> </w:t>
      </w:r>
      <w:r>
        <w:t xml:space="preserve">Λ ~ 10⁻¹²² M⁴_pl. 3–5 років.</w:t>
      </w:r>
    </w:p>
    <w:p>
      <w:pPr>
        <w:pStyle w:val="BodyText"/>
      </w:pPr>
      <w:r>
        <w:rPr>
          <w:bCs/>
          <w:b/>
        </w:rPr>
        <w:t xml:space="preserve">5.4 Шлях 4 — Оверлеп Дірак на CDT → сильна CP.</w:t>
      </w:r>
      <w:r>
        <w:t xml:space="preserve"> </w:t>
      </w:r>
      <w:r>
        <w:t xml:space="preserve">θ = 0 захищено до всіх порядків. 3–7 років.</w:t>
      </w:r>
    </w:p>
    <w:p>
      <w:pPr>
        <w:pStyle w:val="BodyText"/>
      </w:pPr>
      <w:r>
        <w:rPr>
          <w:bCs/>
          <w:b/>
        </w:rPr>
        <w:t xml:space="preserve">5.5 Шлях 5 — Діосі–Пенроуз → квантове вимірювання.</w:t>
      </w:r>
      <w:r>
        <w:t xml:space="preserve"> </w:t>
      </w:r>
      <w:r>
        <w:t xml:space="preserve">τ_collapse ~ ℏ/(GΔM²/R). Мікрокристалізація. 1–3 роки (теорія), 5–10 (експеримент).</w:t>
      </w:r>
    </w:p>
    <w:p>
      <w:pPr>
        <w:pStyle w:val="BodyText"/>
      </w:pPr>
      <w:r>
        <w:rPr>
          <w:bCs/>
          <w:b/>
        </w:rPr>
        <w:t xml:space="preserve">5.6 Шлях 6 — Бар–Штайнгаус спін-пінна RG.</w:t>
      </w:r>
      <w:r>
        <w:t xml:space="preserve"> </w:t>
      </w:r>
      <w:r>
        <w:t xml:space="preserve">Стадія-за-стадією для EPRL. Розблоковано. 2–3 роки.</w:t>
      </w:r>
    </w:p>
    <w:p>
      <w:pPr>
        <w:pStyle w:val="BodyText"/>
      </w:pPr>
      <w:r>
        <w:t xml:space="preserve">Жоден не потребує нових шарів. Використовують зовнішні інструменти для закриття щілин у архітектурі 12+3+6.</w:t>
      </w:r>
    </w:p>
    <w:bookmarkEnd w:id="31"/>
    <w:bookmarkStart w:id="32" w:name="повний-список-прогнозів"/>
    <w:p>
      <w:pPr>
        <w:pStyle w:val="Heading1"/>
      </w:pPr>
      <w:r>
        <w:t xml:space="preserve">6. Повний список прогнозів</w:t>
      </w:r>
    </w:p>
    <w:p>
      <w:pPr>
        <w:pStyle w:val="FirstParagraph"/>
      </w:pPr>
      <w:r>
        <w:rPr>
          <w:iCs/>
          <w:i/>
        </w:rPr>
        <w:t xml:space="preserve">(Ідентичний CCDR v7.2 §13. 31 прогноз з прапорцями статусу.)</w:t>
      </w:r>
    </w:p>
    <w:p>
      <w:pPr>
        <w:pStyle w:val="BodyText"/>
      </w:pPr>
      <w:r>
        <w:rPr>
          <w:bCs/>
          <w:b/>
        </w:rPr>
        <w:t xml:space="preserve">Підсумковий рахунок після чотирьох раундів:</w:t>
      </w:r>
    </w:p>
    <w:p>
      <w:pPr>
        <w:pStyle w:val="BodyText"/>
      </w:pPr>
      <w:r>
        <w:t xml:space="preserve">ПІДТВЕРДЖЕНО: §6.1 a₀ → Мілгром. НАВІДНИЙ ПОЗИТИВНИЙ: P14/P30 κ Euclid Q1. НАВІДНИЙ ТРЕНД: §6.1 високо-z a₀. ТИМЧАСОВЕ РАНЖУВАННЯ: P25 N = 6. СПРОСТОВАНО/ВИДАЛЕНО: P9a, P9c. ВІДКЛИКАНО: P7-розш., одногарм. w(z), P3 Tempel. НЕПРАВИЛЬНИЙ ЗНАК: P8c. НЕПРОТЕСТОВАНЕ: P10/P25 тверде ядро. ДВОЗНАЧНЕ: P1 ν.</w:t>
      </w:r>
    </w:p>
    <w:bookmarkEnd w:id="32"/>
    <w:bookmarkStart w:id="33" w:name="X1826362caf870100918890a0477670fad87ec3c"/>
    <w:p>
      <w:pPr>
        <w:pStyle w:val="Heading1"/>
      </w:pPr>
      <w:r>
        <w:t xml:space="preserve">7. Перекласифікація</w:t>
      </w:r>
      <w:r>
        <w:t xml:space="preserve"> </w:t>
      </w:r>
      <w:r>
        <w:t xml:space="preserve">“</w:t>
      </w:r>
      <w:r>
        <w:t xml:space="preserve">спостереження насамперед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N — спостережувана, яка визначається підрахунком піків.</w:t>
      </w:r>
      <w:r>
        <w:t xml:space="preserve"> </w:t>
      </w:r>
      <w:r>
        <w:t xml:space="preserve">Алгебраїчні маршрути (DA/O, HaPPY, AQN, Ω-підгонка) — перевірки узгодженості. Фреймворк зобов’язується прийняти відповідь прямого виявлення. Алгебраїчні маршрути надають апріорі N = 6, інформативне, але не зобов’язувальне.</w:t>
      </w:r>
    </w:p>
    <w:p>
      <w:pPr>
        <w:pStyle w:val="BodyText"/>
      </w:pPr>
      <w:r>
        <w:t xml:space="preserve">Застереження про редукційний об’єм: підрахунок піків дає N лише за повної вибірки.</w:t>
      </w:r>
    </w:p>
    <w:bookmarkEnd w:id="33"/>
    <w:bookmarkStart w:id="34" w:name="результати-раунду-4"/>
    <w:p>
      <w:pPr>
        <w:pStyle w:val="Heading1"/>
      </w:pPr>
      <w:r>
        <w:t xml:space="preserve">8. Результати раунду 4</w:t>
      </w:r>
    </w:p>
    <w:p>
      <w:pPr>
        <w:pStyle w:val="FirstParagraph"/>
      </w:pPr>
      <w:r>
        <w:t xml:space="preserve">Один навідний позитивний (Тест 1 P30), один сумісний (Тест 2 P3), один навідний тренд (Тест 5 високо-z a₀), три нульові/слабкі. Шар 4 — єдиний з активними сигналами. Всі сигнали сумісні з прогнозами у</w:t>
      </w:r>
      <w:r>
        <w:t xml:space="preserve"> </w:t>
      </w:r>
      <w:r>
        <w:rPr>
          <w:iCs/>
          <w:i/>
        </w:rPr>
        <w:t xml:space="preserve">напрямку</w:t>
      </w:r>
      <w:r>
        <w:t xml:space="preserve"> </w:t>
      </w:r>
      <w:r>
        <w:t xml:space="preserve">і при нижньому кінці теоретичної амплітуди (ν ≈ 10⁻³).</w:t>
      </w:r>
    </w:p>
    <w:bookmarkEnd w:id="34"/>
    <w:bookmarkStart w:id="35" w:name="пріоритетні-цілі-раунду-5"/>
    <w:p>
      <w:pPr>
        <w:pStyle w:val="Heading1"/>
      </w:pPr>
      <w:r>
        <w:t xml:space="preserve">9. Пріоритетні цілі раунду 5</w:t>
      </w:r>
    </w:p>
    <w:p>
      <w:pPr>
        <w:numPr>
          <w:ilvl w:val="0"/>
          <w:numId w:val="1001"/>
        </w:numPr>
        <w:pStyle w:val="Compact"/>
      </w:pPr>
      <w:r>
        <w:t xml:space="preserve">Незалежна реплікація κ Euclid Q1. (2) Аудит систематик κ. (3) Каталог-масштабний високо-z a₀ (~100+ кривих обертання при z &gt; 0.3). (4) DESI DR3 ν. (5) Бар–Штайнгаус стадія-за-стадією. (6) Відстеження наближення тонно-масштабного виявлення до 0.5–3 ТеВ.</w:t>
      </w:r>
    </w:p>
    <w:bookmarkEnd w:id="35"/>
    <w:bookmarkStart w:id="36" w:name="висновок"/>
    <w:p>
      <w:pPr>
        <w:pStyle w:val="Heading1"/>
      </w:pPr>
      <w:r>
        <w:t xml:space="preserve">10. Висновок</w:t>
      </w:r>
    </w:p>
    <w:p>
      <w:pPr>
        <w:pStyle w:val="FirstParagraph"/>
      </w:pPr>
      <w:r>
        <w:t xml:space="preserve">Синтез v3.2 — структурно повна дослідницька програма: 12 первинних структур, 3 альтернативні гілки, 6 шляхів розв’язання, 5 шарів спростовності з явними умовами виходу, повний ланцюг рівнянь від CDT симплексів до спостережуваних прогнозів, і 31 пронумерований прогноз з прозорим емпіричним статусом.</w:t>
      </w:r>
    </w:p>
    <w:p>
      <w:pPr>
        <w:pStyle w:val="BodyText"/>
      </w:pPr>
      <w:r>
        <w:t xml:space="preserve">Архітектура слідує Лакатосу: тверде ядро (χ → 1 запускає редукцію, локально і асинхронно), захисний пояс, альтернативні гілки, шляхи розв’язання. Фреймворк забороняє НСС, поважає направленість часу, зобов’язується визначити N зі спостереження. Жоден одиничний провал не руйнує програму. Кожна щілина має шлях розв’язання. Кожен прогноз тестовний.</w:t>
      </w:r>
    </w:p>
    <w:p>
      <w:pPr>
        <w:pStyle w:val="BodyText"/>
      </w:pPr>
      <w:r>
        <w:t xml:space="preserve">Темна матерія може містити всю інформацію про вищі виміри, але застереження про редукційний об’єм означає, що це не гарантовано. Вирішальний експеримент — тонно-масштабне пряме виявлення 0.5–3 ТеВ. Коли він запрацює, фреймворк встигне чи провалиться чисто.</w:t>
      </w:r>
    </w:p>
    <w:bookmarkEnd w:id="36"/>
    <w:bookmarkStart w:id="37" w:name="посилання"/>
    <w:p>
      <w:pPr>
        <w:pStyle w:val="Heading1"/>
      </w:pPr>
      <w:r>
        <w:t xml:space="preserve">Посилання</w:t>
      </w:r>
    </w:p>
    <w:p>
      <w:pPr>
        <w:pStyle w:val="FirstParagraph"/>
      </w:pPr>
      <w:r>
        <w:t xml:space="preserve">[1]–[40] як у Synthesis v3.2 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Рукопис підготовлено для подвійного сліпого рецензування.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Розширений кристалографічний синтез (v3.2)</dc:title>
  <dc:creator>[Імена авторів приховано]</dc:creator>
  <dc:language>uk</dc:language>
  <cp:keywords/>
  <dcterms:created xsi:type="dcterms:W3CDTF">2026-04-16T19:29:13Z</dcterms:created>
  <dcterms:modified xsi:type="dcterms:W3CDTF">2026-04-16T19:29:13Z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Квітень 2026</vt:lpwstr>
  </property>
  <property fmtid="{D5CDD505-2E9C-101B-9397-08002B2CF9AE}" pid="3" name="subtitle">
    <vt:lpwstr>12 первинних структур, 3 альтернативні гілки, 6 шляхів розв’язання — з 5-шаровою спростовністю, ланцюгом рівнянь і зобов’язанням спостереження насамперед</vt:lpwstr>
  </property>
</Properties>
</file>