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Розширений</w:t>
      </w:r>
      <w:r>
        <w:t xml:space="preserve"> </w:t>
      </w:r>
      <w:r>
        <w:t xml:space="preserve">кристалографічний</w:t>
      </w:r>
      <w:r>
        <w:t xml:space="preserve"> </w:t>
      </w:r>
      <w:r>
        <w:t xml:space="preserve">синтез</w:t>
      </w:r>
      <w:r>
        <w:t xml:space="preserve"> </w:t>
      </w:r>
      <w:r>
        <w:t xml:space="preserve">(v2.2)</w:t>
      </w:r>
    </w:p>
    <w:p>
      <w:pPr>
        <w:pStyle w:val="Subtitle"/>
      </w:pPr>
      <w:r>
        <w:t xml:space="preserve">12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+</w:t>
      </w:r>
      <w:r>
        <w:t xml:space="preserve"> </w:t>
      </w:r>
      <w:r>
        <w:t xml:space="preserve">6,</w:t>
      </w:r>
      <w:r>
        <w:t xml:space="preserve"> </w:t>
      </w:r>
      <w:r>
        <w:t xml:space="preserve">узгоджено</w:t>
      </w:r>
      <w:r>
        <w:t xml:space="preserve"> </w:t>
      </w:r>
      <w:r>
        <w:t xml:space="preserve">з</w:t>
      </w:r>
      <w:r>
        <w:t xml:space="preserve"> </w:t>
      </w:r>
      <w:r>
        <w:t xml:space="preserve">CCDR</w:t>
      </w:r>
      <w:r>
        <w:t xml:space="preserve"> </w:t>
      </w:r>
      <w:r>
        <w:t xml:space="preserve">v6.2,</w:t>
      </w:r>
      <w:r>
        <w:t xml:space="preserve"> </w:t>
      </w:r>
      <w:r>
        <w:t xml:space="preserve">з</w:t>
      </w:r>
      <w:r>
        <w:t xml:space="preserve"> </w:t>
      </w:r>
      <w:r>
        <w:t xml:space="preserve">тестами</w:t>
      </w:r>
      <w:r>
        <w:t xml:space="preserve"> </w:t>
      </w:r>
      <w:r>
        <w:t xml:space="preserve">стійкості</w:t>
      </w:r>
      <w:r>
        <w:t xml:space="preserve"> </w:t>
      </w:r>
      <w:r>
        <w:t xml:space="preserve">раунду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[Імена</w:t>
      </w:r>
      <w:r>
        <w:t xml:space="preserve"> </w:t>
      </w:r>
      <w:r>
        <w:t xml:space="preserve">авторів</w:t>
      </w:r>
      <w:r>
        <w:t xml:space="preserve"> </w:t>
      </w:r>
      <w:r>
        <w:t xml:space="preserve">приховано]</w:t>
      </w:r>
    </w:p>
    <w:p>
      <w:pPr>
        <w:pStyle w:val="Date"/>
      </w:pPr>
      <w:r>
        <w:t xml:space="preserve">Квітень</w:t>
      </w:r>
      <w:r>
        <w:t xml:space="preserve"> </w:t>
      </w:r>
      <w:r>
        <w:t xml:space="preserve">2026</w:t>
      </w:r>
    </w:p>
    <w:bookmarkStart w:id="20" w:name="анотація"/>
    <w:p>
      <w:pPr>
        <w:pStyle w:val="Heading1"/>
      </w:pPr>
      <w:r>
        <w:t xml:space="preserve">Анотація</w:t>
      </w:r>
    </w:p>
    <w:p>
      <w:pPr>
        <w:pStyle w:val="FirstParagraph"/>
      </w:pPr>
      <w:r>
        <w:t xml:space="preserve">Синтез v2.2 включає вісім тестів стійкості раунду 2 в архітектуру v2.1. Три зміни: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Блокувач аудиту ν закрито.</w:t>
      </w:r>
      <w:r>
        <w:t xml:space="preserve"> </w:t>
      </w:r>
      <w:r>
        <w:t xml:space="preserve">Уніфікований конвеєр повертає ν ≈ 0.025 ± 0.013, надійно додатне між варіантами конвеєра, але лише при 1.9σ проти ν = 0, і керовано майже виключно Pantheon+ SN (значущість падає до 0.76σ при видаленні SN). P21 перекласифіковано з</w:t>
      </w:r>
      <w:r>
        <w:t xml:space="preserve"> </w:t>
      </w:r>
      <w:r>
        <w:t xml:space="preserve">“</w:t>
      </w:r>
      <w:r>
        <w:t xml:space="preserve">аудит очікується</w:t>
      </w:r>
      <w:r>
        <w:t xml:space="preserve">”</w:t>
      </w:r>
      <w:r>
        <w:t xml:space="preserve"> </w:t>
      </w:r>
      <w:r>
        <w:t xml:space="preserve">на</w:t>
      </w:r>
      <w:r>
        <w:t xml:space="preserve"> </w:t>
      </w:r>
      <w:r>
        <w:t xml:space="preserve">“</w:t>
      </w:r>
      <w:r>
        <w:t xml:space="preserve">маргінально значуще, центральне значення на порядок вище номінального v2 10⁻³, вирішальний тест відкладено до наступного релізу DESI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Два прогнози, раніше перелічених як підтверджені або підтримані, понижено.</w:t>
      </w:r>
      <w:r>
        <w:t xml:space="preserve"> </w:t>
      </w:r>
      <w:r>
        <w:t xml:space="preserve">P3 (вирівнювання філаментів, успадковано з v5 ланцюга) застережено з</w:t>
      </w:r>
      <w:r>
        <w:t xml:space="preserve"> </w:t>
      </w:r>
      <w:r>
        <w:t xml:space="preserve">“</w:t>
      </w:r>
      <w:r>
        <w:t xml:space="preserve">17.8σ підтверджено</w:t>
      </w:r>
      <w:r>
        <w:t xml:space="preserve">”</w:t>
      </w:r>
      <w:r>
        <w:t xml:space="preserve"> </w:t>
      </w:r>
      <w:r>
        <w:t xml:space="preserve">до</w:t>
      </w:r>
      <w:r>
        <w:t xml:space="preserve"> </w:t>
      </w:r>
      <w:r>
        <w:t xml:space="preserve">“</w:t>
      </w:r>
      <w:r>
        <w:t xml:space="preserve">побачено лише в Tempel et al. 2014, без незалежної реплікації</w:t>
      </w:r>
      <w:r>
        <w:t xml:space="preserve">”</w:t>
      </w:r>
      <w:r>
        <w:t xml:space="preserve"> </w:t>
      </w:r>
      <w:r>
        <w:t xml:space="preserve">— незалежна kNN-реконструкція повертає шкалу 8 Mpc/h замість 163, і нуль-контролі показують, що оригінальний сигнал становить щонайбільше ~2σ над перемішаними нулями. P7-розширений (багатогармонічне w(z)) відкликано: детрендована осциляційно-тільки підгонка дає рівно один пік при ~2.4σ без супутніх частот для тесту відношень.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Одне нове структурне застереження входить у синтез.</w:t>
      </w:r>
      <w:r>
        <w:t xml:space="preserve"> </w:t>
      </w:r>
      <w:r>
        <w:t xml:space="preserve">Захист одношкальності Койде (CCDR v6 §6.3) обмежено: μ-сканування від 2 ГеВ вгору не знаходить спільної шкали, на якій усі три секторні відношення досягають 2/3. Читання симетрії зони Бріллюена виживає лише з секторо-залежними масштабами кристалізації — допустимим, але ad hoc визнанням, яке v2.2 явно записує.</w:t>
      </w:r>
    </w:p>
    <w:p>
      <w:pPr>
        <w:pStyle w:val="FirstParagraph"/>
      </w:pPr>
      <w:r>
        <w:t xml:space="preserve">Архітектуру 12 + 3 + 6 збережено. Жоден шар не дестабілізовано. Єдине надійне підтвердження через обидва раунди — це локальне відступлення a₀ → Мілгром (Тест 10 + Тест 6 ієрархічний), що залишається найнадійнішим емпіричним якорем синтезу.</w:t>
      </w:r>
    </w:p>
    <w:bookmarkEnd w:id="20"/>
    <w:bookmarkStart w:id="21" w:name="оновлений-статус-прогнозів"/>
    <w:p>
      <w:pPr>
        <w:pStyle w:val="Heading1"/>
      </w:pPr>
      <w:r>
        <w:t xml:space="preserve">1. Оновлений статус прогнозів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 (ν як TGFT-RG IR фікс. точка)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очікується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ν ≈ 0.025, 1.9σ, керовано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P22, P23, P26, P27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 (DA/O N ≤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 (підрахунок піків ТМ →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Недостатня досяжність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Підтверджено недостатньою (88-ресурсне сканування)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 (μ/y КМВ)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FIRAS-сумісно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саме</w:t>
            </w:r>
          </w:p>
        </w:tc>
      </w:tr>
    </w:tbl>
    <w:p>
      <w:pPr>
        <w:pStyle w:val="BodyText"/>
      </w:pPr>
      <w:r>
        <w:t xml:space="preserve">Успадковані прогнози v5: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філаменти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Підтверджено 17.8σ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Застережено: лише Tempel, без реплікації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KSS у QGP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Майже-насичено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Майже-насичено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P7-розш. w(z)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Підтримано, аудит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Відкликано: один пік ~2.4σ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P9a, P9c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P9d R_K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може спрацювати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може спрацювати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§6.1 локальне a₀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Надійно підтверджено</w:t>
            </w:r>
          </w:p>
        </w:tc>
      </w:tr>
    </w:tbl>
    <w:bookmarkEnd w:id="21"/>
    <w:bookmarkStart w:id="22" w:name="вплив-на-12-структур"/>
    <w:p>
      <w:pPr>
        <w:pStyle w:val="Heading1"/>
      </w:pPr>
      <w:r>
        <w:t xml:space="preserve">2. Вплив на 12 структур</w:t>
      </w:r>
    </w:p>
    <w:p>
      <w:pPr>
        <w:pStyle w:val="FirstParagraph"/>
      </w:pPr>
      <w:r>
        <w:rPr>
          <w:bCs/>
          <w:b/>
        </w:rPr>
        <w:t xml:space="preserve">RVM (1.4)</w:t>
      </w:r>
      <w:r>
        <w:t xml:space="preserve"> </w:t>
      </w:r>
      <w:r>
        <w:t xml:space="preserve">— емпіричне центральне значення ν оновлено до ~0.025, із застереженням, що значущість проти ν = 0 становить лише 1.9σ і сигнал зосереджений у Pantheon+ SN, а не в секторах BAO/CMB, які повинні кодувати високо-z біжучий вакуум. v2.2 записує це як</w:t>
      </w:r>
      <w:r>
        <w:t xml:space="preserve"> </w:t>
      </w:r>
      <w:r>
        <w:t xml:space="preserve">“</w:t>
      </w:r>
      <w:r>
        <w:t xml:space="preserve">слабка емпірична підтримка, вирішальний тест відкладено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TGFT-RG (1.9)</w:t>
      </w:r>
      <w:r>
        <w:t xml:space="preserve"> </w:t>
      </w:r>
      <w:r>
        <w:t xml:space="preserve">— P22 / Шлях розв’язання 6 (Бар-Штайнгаус стадія за стадією) було призупинено в v2.1 в очікуванні узгодженого ν. Аудит тепер закрито з ν ≈ 0.025, тож реалізація може продовжуватися; v2.2 позначає Шлях 6 як</w:t>
      </w:r>
      <w:r>
        <w:t xml:space="preserve"> </w:t>
      </w:r>
      <w:r>
        <w:rPr>
          <w:bCs/>
          <w:b/>
        </w:rPr>
        <w:t xml:space="preserve">розблокований</w:t>
      </w:r>
      <w:r>
        <w:t xml:space="preserve">, але ще не виконаний.</w:t>
      </w:r>
    </w:p>
    <w:p>
      <w:pPr>
        <w:pStyle w:val="BodyText"/>
      </w:pPr>
      <w:r>
        <w:rPr>
          <w:bCs/>
          <w:b/>
        </w:rPr>
        <w:t xml:space="preserve">DA/O (1.10)</w:t>
      </w:r>
      <w:r>
        <w:t xml:space="preserve"> </w:t>
      </w:r>
      <w:r>
        <w:t xml:space="preserve">— верхня межа N ≤ 11 не зачеплена.</w:t>
      </w:r>
    </w:p>
    <w:p>
      <w:pPr>
        <w:pStyle w:val="BodyText"/>
      </w:pPr>
      <w:r>
        <w:rPr>
          <w:bCs/>
          <w:b/>
        </w:rPr>
        <w:t xml:space="preserve">Читання Койде (CCDR §6.3, поширене через SSM 1.3)</w:t>
      </w:r>
      <w:r>
        <w:t xml:space="preserve"> </w:t>
      </w:r>
      <w:r>
        <w:t xml:space="preserve">— сканування одношкальності раунду 2 вводить структурне застереження: виведення зони Бріллюена має застосовуватися на секторо-залежних масштабах кристалізації. v2.2 визнає це у розділі SSM: властивість реальності спектральної дії дає Q = 2/3</w:t>
      </w:r>
      <w:r>
        <w:t xml:space="preserve"> </w:t>
      </w:r>
      <w:r>
        <w:rPr>
          <w:iCs/>
          <w:i/>
        </w:rPr>
        <w:t xml:space="preserve">на</w:t>
      </w:r>
      <w:r>
        <w:t xml:space="preserve"> </w:t>
      </w:r>
      <w:r>
        <w:t xml:space="preserve">відповідному масштабі кристалізації кожного сектора, але синтез ще не виводить</w:t>
      </w:r>
      <w:r>
        <w:t xml:space="preserve"> </w:t>
      </w:r>
      <w:r>
        <w:rPr>
          <w:iCs/>
          <w:i/>
        </w:rPr>
        <w:t xml:space="preserve">чому</w:t>
      </w:r>
      <w:r>
        <w:t xml:space="preserve"> </w:t>
      </w:r>
      <w:r>
        <w:t xml:space="preserve">лептони, верхні кварки і нижні кварки кристалізуються при трьох різних енергіях.</w:t>
      </w:r>
    </w:p>
    <w:p>
      <w:pPr>
        <w:pStyle w:val="BodyText"/>
      </w:pPr>
      <w:r>
        <w:rPr>
          <w:bCs/>
          <w:b/>
        </w:rPr>
        <w:t xml:space="preserve">HaPPY, AQN, CDT, TN, GFT+EPRL, SSM, AS, LGT, CCDR</w:t>
      </w:r>
      <w:r>
        <w:t xml:space="preserve"> </w:t>
      </w:r>
      <w:r>
        <w:t xml:space="preserve">— ролі без змін від v2.1.</w:t>
      </w:r>
    </w:p>
    <w:bookmarkEnd w:id="22"/>
    <w:bookmarkStart w:id="23" w:name="три-гілки"/>
    <w:p>
      <w:pPr>
        <w:pStyle w:val="Heading1"/>
      </w:pPr>
      <w:r>
        <w:t xml:space="preserve">3. Три гілки</w:t>
      </w:r>
    </w:p>
    <w:p>
      <w:pPr>
        <w:pStyle w:val="FirstParagraph"/>
      </w:pPr>
      <w:r>
        <w:t xml:space="preserve">Архітектура гілок незмінна. Надійно підтверджене локальне відступлення a₀ затягує гілку EG ↔ CDT+TN тим самим способом, що і в v2.1. Гілка залишається життєздатним резервом.</w:t>
      </w:r>
    </w:p>
    <w:bookmarkEnd w:id="23"/>
    <w:bookmarkStart w:id="24" w:name="шість-шляхів-розвязання"/>
    <w:p>
      <w:pPr>
        <w:pStyle w:val="Heading1"/>
      </w:pPr>
      <w:r>
        <w:t xml:space="preserve">4. Шість шляхів розв’язання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Свомпленд → часування каскаду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утриманні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Розблоковано (ν ≈ 0.025)</w:t>
            </w:r>
            <w:r>
              <w:t xml:space="preserve">, ще не виконано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змін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змін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Бар-Штайнгаус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утриманні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Розблоковано</w:t>
            </w:r>
            <w:r>
              <w:t xml:space="preserve">, ще не виконано</w:t>
            </w:r>
          </w:p>
        </w:tc>
      </w:tr>
    </w:tbl>
    <w:bookmarkEnd w:id="24"/>
    <w:bookmarkStart w:id="25" w:name="шарова-спростовність-оновлення-раунду-2"/>
    <w:p>
      <w:pPr>
        <w:pStyle w:val="Heading1"/>
      </w:pPr>
      <w:r>
        <w:t xml:space="preserve">5. Шарова спростовність — оновлення раунду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Шар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(CDT + каскадне ядро)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(GFT + TGFT-RG)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очікується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Аудит ν закрито; слабка підтримка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(TN + HaPPY)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(SSM + AS + DA/O)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Сумісно (із застереженням Койде)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(RVM + CCDR)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Частково підтверджено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Змішано: a₀ підтверджено, P3 застережено, P7-розш. відкликано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(баріогенез)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Непротестовано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Жоден шар не дестабілізовано раундом 2</w:t>
      </w:r>
      <w:r>
        <w:t xml:space="preserve">, але заголовкова підтримка Шару 4 тепер вужча, ніж стверджував v2.1. Каскадно-сторонні твердження залишаються структурно недоторканими, але емпірично непротестованими.</w:t>
      </w:r>
    </w:p>
    <w:bookmarkEnd w:id="25"/>
    <w:bookmarkStart w:id="26" w:name="відкриті-проблеми-після-раунду-2"/>
    <w:p>
      <w:pPr>
        <w:pStyle w:val="Heading1"/>
      </w:pPr>
      <w:r>
        <w:t xml:space="preserve">6. Відкриті проблеми після раунду 2</w:t>
      </w:r>
    </w:p>
    <w:p>
      <w:pPr>
        <w:pStyle w:val="FirstParagraph"/>
      </w:pPr>
      <w:r>
        <w:rPr>
          <w:bCs/>
          <w:b/>
        </w:rPr>
        <w:t xml:space="preserve">6.1</w:t>
      </w:r>
      <w:r>
        <w:t xml:space="preserve"> </w:t>
      </w:r>
      <w:r>
        <w:t xml:space="preserve">Сигнал ν 1.9σ керовано SN, а не BAO/CMB. Біжучий вакуум повинен залишити свій найсильніший відбиток у високо-z секторі. Інтерпретація SN-домінованого ν running неясна. Розв’язання потребує DESI DR3 (очікується 2027) і паралельного аудиту систематик SN.</w:t>
      </w:r>
    </w:p>
    <w:p>
      <w:pPr>
        <w:pStyle w:val="BodyText"/>
      </w:pPr>
      <w:r>
        <w:rPr>
          <w:bCs/>
          <w:b/>
        </w:rPr>
        <w:t xml:space="preserve">6.2</w:t>
      </w:r>
      <w:r>
        <w:t xml:space="preserve"> </w:t>
      </w:r>
      <w:r>
        <w:t xml:space="preserve">Єдиний пік осциляційно-тільки w(z) при 10.89 циклів/червоне зміщення не може бути інтерпретований як каскадна сигнатура без супутніх піків. Дані Roman/LSST потрібні для тесту багатогармонічної структури.</w:t>
      </w:r>
    </w:p>
    <w:p>
      <w:pPr>
        <w:pStyle w:val="BodyText"/>
      </w:pPr>
      <w:r>
        <w:rPr>
          <w:bCs/>
          <w:b/>
        </w:rPr>
        <w:t xml:space="preserve">6.3</w:t>
      </w:r>
      <w:r>
        <w:t xml:space="preserve"> </w:t>
      </w:r>
      <w:r>
        <w:t xml:space="preserve">Вирівнювання філаментів потребує третьої незалежної реконструкції (DisPerSE на SDSS DR16) перед тим, як будь-яке твердження про великомасштабне впорядкування може бути зроблене.</w:t>
      </w:r>
    </w:p>
    <w:p>
      <w:pPr>
        <w:pStyle w:val="BodyText"/>
      </w:pPr>
      <w:r>
        <w:rPr>
          <w:bCs/>
          <w:b/>
        </w:rPr>
        <w:t xml:space="preserve">6.4</w:t>
      </w:r>
      <w:r>
        <w:t xml:space="preserve"> </w:t>
      </w:r>
      <w:r>
        <w:t xml:space="preserve">Каскадне тверде ядро залишається непротестованим. Тонно-масштабне пряме виявлення з аналізами розрізнення піків — єдиний шлях вперед.</w:t>
      </w:r>
    </w:p>
    <w:p>
      <w:pPr>
        <w:pStyle w:val="BodyText"/>
      </w:pPr>
      <w:r>
        <w:rPr>
          <w:bCs/>
          <w:b/>
        </w:rPr>
        <w:t xml:space="preserve">6.5</w:t>
      </w:r>
      <w:r>
        <w:t xml:space="preserve"> </w:t>
      </w:r>
      <w:r>
        <w:t xml:space="preserve">Допущення про секторо-залежні масштаби Койде в §6.3 потребує обґрунтування з перших принципів, наразі відсутнього.</w:t>
      </w:r>
    </w:p>
    <w:bookmarkEnd w:id="26"/>
    <w:bookmarkStart w:id="27" w:name="висновок"/>
    <w:p>
      <w:pPr>
        <w:pStyle w:val="Heading1"/>
      </w:pPr>
      <w:r>
        <w:t xml:space="preserve">7. Висновок</w:t>
      </w:r>
    </w:p>
    <w:p>
      <w:pPr>
        <w:pStyle w:val="FirstParagraph"/>
      </w:pPr>
      <w:r>
        <w:t xml:space="preserve">Після двох раундів тестування на публічних даних архітектура синтезу неушкоджена, але її емпірична підтримка обережніша, ніж формулював v2.1. Єдине надійне підтвердження через обидва раунди — це локальне відступлення a₀. Єдиний слабкий сигнал — це ν &gt; 0 при 1.9σ. Дві раніше заявлені підтримки (вирівнювання філаментів, багатогармонічне w(z)) обвалилися під уважним розглядом раунду 2 — обидві з методологічних причин, які оригінальні тести повинні були вловити, і які батарея стійкості GPT-стилю вловила. Каскадне тверде ядро залишається непротестованим з причин чутливості.</w:t>
      </w:r>
    </w:p>
    <w:p>
      <w:pPr>
        <w:pStyle w:val="BodyText"/>
      </w:pPr>
      <w:r>
        <w:t xml:space="preserve">Раунд 3, коли він відбудеться, повинен зосередитися на: (1) перевиведенні ν з DESI DR3, (2) третьому незалежному каталозі філаментів, (3) виконанні Бара-Штайнгауса стадія за стадією тепер, коли ν розблоковано, (4) тестах багатогармонічного w(z) Roman/LSST, коли дані з’являться. Жоден з них не може доставити тест твердого ядра каскадної картини; це чекає на наступне покоління прямого виявлення.</w:t>
      </w:r>
    </w:p>
    <w:p>
      <w:pPr>
        <w:pStyle w:val="BodyText"/>
      </w:pPr>
      <w:r>
        <w:t xml:space="preserve">Методологічне зобов’язання v2.2 полягає в тому, що</w:t>
      </w:r>
      <w:r>
        <w:t xml:space="preserve"> </w:t>
      </w:r>
      <w:r>
        <w:rPr>
          <w:iCs/>
          <w:i/>
        </w:rPr>
        <w:t xml:space="preserve">всі</w:t>
      </w:r>
      <w:r>
        <w:t xml:space="preserve"> </w:t>
      </w:r>
      <w:r>
        <w:t xml:space="preserve">майбутні прогнози в цьому синтезі повинні поставлятися з явною логікою спростовності, leave-one-out перевірками, нуль-контролями і де застосовно незалежною реплікацією, перш ніж буде зроблено будь-яке твердження про</w:t>
      </w:r>
      <w:r>
        <w:t xml:space="preserve"> </w:t>
      </w:r>
      <w:r>
        <w:t xml:space="preserve">“</w:t>
      </w:r>
      <w:r>
        <w:t xml:space="preserve">підтримку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Рукопис підготовлено для подвійного сліпого рецензування.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Розширений кристалографічний синтез (v2.2)</dc:title>
  <dc:creator>[Імена авторів приховано]</dc:creator>
  <dc:language>uk</dc:language>
  <cp:keywords/>
  <dcterms:created xsi:type="dcterms:W3CDTF">2026-04-11T13:22:26Z</dcterms:created>
  <dcterms:modified xsi:type="dcterms:W3CDTF">2026-04-11T13:22:26Z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Квітень 2026</vt:lpwstr>
  </property>
  <property fmtid="{D5CDD505-2E9C-101B-9397-08002B2CF9AE}" pid="3" name="subtitle">
    <vt:lpwstr>12 + 3 + 6, узгоджено з CCDR v6.2, з тестами стійкості раунду 2</vt:lpwstr>
  </property>
</Properties>
</file>