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Extended</w:t>
      </w:r>
      <w:r>
        <w:t xml:space="preserve"> </w:t>
      </w:r>
      <w:r>
        <w:t xml:space="preserve">Crystallographic</w:t>
      </w:r>
      <w:r>
        <w:t xml:space="preserve"> </w:t>
      </w:r>
      <w:r>
        <w:t xml:space="preserve">Synthesis</w:t>
      </w:r>
      <w:r>
        <w:t xml:space="preserve"> </w:t>
      </w:r>
      <w:r>
        <w:t xml:space="preserve">(v2.2)</w:t>
      </w:r>
    </w:p>
    <w:p>
      <w:pPr>
        <w:pStyle w:val="Subtitle"/>
      </w:pPr>
      <w:r>
        <w:t xml:space="preserve">12</w:t>
      </w:r>
      <w:r>
        <w:t xml:space="preserve"> </w:t>
      </w:r>
      <w:r>
        <w:t xml:space="preserve">+</w:t>
      </w:r>
      <w:r>
        <w:t xml:space="preserve"> </w:t>
      </w:r>
      <w:r>
        <w:t xml:space="preserve">3</w:t>
      </w:r>
      <w:r>
        <w:t xml:space="preserve"> </w:t>
      </w:r>
      <w:r>
        <w:t xml:space="preserve">+</w:t>
      </w:r>
      <w:r>
        <w:t xml:space="preserve"> </w:t>
      </w:r>
      <w:r>
        <w:t xml:space="preserve">6,</w:t>
      </w:r>
      <w:r>
        <w:t xml:space="preserve"> </w:t>
      </w:r>
      <w:r>
        <w:t xml:space="preserve">aligned</w:t>
      </w:r>
      <w:r>
        <w:t xml:space="preserve"> </w:t>
      </w:r>
      <w:r>
        <w:t xml:space="preserve">with</w:t>
      </w:r>
      <w:r>
        <w:t xml:space="preserve"> </w:t>
      </w:r>
      <w:r>
        <w:t xml:space="preserve">CCDR</w:t>
      </w:r>
      <w:r>
        <w:t xml:space="preserve"> </w:t>
      </w:r>
      <w:r>
        <w:t xml:space="preserve">v6.2,</w:t>
      </w:r>
      <w:r>
        <w:t xml:space="preserve"> </w:t>
      </w:r>
      <w:r>
        <w:t xml:space="preserve">with</w:t>
      </w:r>
      <w:r>
        <w:t xml:space="preserve"> </w:t>
      </w:r>
      <w:r>
        <w:t xml:space="preserve">Round-2</w:t>
      </w:r>
      <w:r>
        <w:t xml:space="preserve"> </w:t>
      </w:r>
      <w:r>
        <w:t xml:space="preserve">Robustness</w:t>
      </w:r>
      <w:r>
        <w:t xml:space="preserve"> </w:t>
      </w:r>
      <w:r>
        <w:t xml:space="preserve">Tests</w:t>
      </w:r>
      <w:r>
        <w:t xml:space="preserve"> </w:t>
      </w:r>
      <w:r>
        <w:t xml:space="preserve">Incorporated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names</w:t>
      </w:r>
      <w:r>
        <w:t xml:space="preserve"> </w:t>
      </w:r>
      <w:r>
        <w:t xml:space="preserve">withheld]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Synthesis v2.2 incorporates the eight round-2 robustness tests into the v2.1 architecture. Three changes: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ν audit blocker is closed.</w:t>
      </w:r>
      <w:r>
        <w:t xml:space="preserve"> </w:t>
      </w:r>
      <w:r>
        <w:t xml:space="preserve">The unified pipeline returns ν ≈ 0.025 ± 0.013, robustly positive across pipeline variants but only at 1.9σ against ν = 0, and driven almost entirely by Pantheon+ SNe (significance drops to 0.76σ when SNe are removed). P21 is reclassified from</w:t>
      </w:r>
      <w:r>
        <w:t xml:space="preserve"> </w:t>
      </w:r>
      <w:r>
        <w:t xml:space="preserve">“</w:t>
      </w:r>
      <w:r>
        <w:t xml:space="preserve">audit pending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marginally significant, central value an order of magnitude above the v2 nominal 10⁻³, decisive test deferred to next DESI release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Two predictions previously listed as confirmed or supported are downgraded.</w:t>
      </w:r>
      <w:r>
        <w:t xml:space="preserve"> </w:t>
      </w:r>
      <w:r>
        <w:t xml:space="preserve">P3 (filament alignment, inherited from v5 chain) is hedged from</w:t>
      </w:r>
      <w:r>
        <w:t xml:space="preserve"> </w:t>
      </w:r>
      <w:r>
        <w:t xml:space="preserve">“</w:t>
      </w:r>
      <w:r>
        <w:t xml:space="preserve">17.8σ confirmed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seen in Tempel et al. 2014 only, no independent replication</w:t>
      </w:r>
      <w:r>
        <w:t xml:space="preserve">”</w:t>
      </w:r>
      <w:r>
        <w:t xml:space="preserve"> </w:t>
      </w:r>
      <w:r>
        <w:t xml:space="preserve">— the independent kNN-based reconstruction returns scale 8 Mpc/h instead of 163, and null controls show the original signal is at most ~2σ above shuffled-axis nulls. P7-extended (multi-harmonic w(z)) is retracted: detrended oscillation-only fit yields exactly one peak at ~2.4σ with no companion frequencies for ratio-testing.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One new structural caveat enters the synthesis.</w:t>
      </w:r>
      <w:r>
        <w:t xml:space="preserve"> </w:t>
      </w:r>
      <w:r>
        <w:t xml:space="preserve">The Koide single-scale defence (CCDR v6 §6.3) is constrained: a μ-scan from 2 GeV upward finds no common scale at which all three sector ratios meet 2/3. The Brillouin-zone-symmetry reading survives only with sector-dependent crystallisation scales — a permissible but ad hoc admission that v2.2 records explicitly.</w:t>
      </w:r>
    </w:p>
    <w:p>
      <w:pPr>
        <w:pStyle w:val="FirstParagraph"/>
      </w:pPr>
      <w:r>
        <w:t xml:space="preserve">The 12 + 3 + 6 architecture is preserved. No layer is destabilised. The single robust confirmation across both rounds is the local a₀ → Milgrom retreat (Test 10 + Test 6 hierarchical), which remains the synthesis’s most reliable empirical anchor.</w:t>
      </w:r>
    </w:p>
    <w:bookmarkEnd w:id="20"/>
    <w:bookmarkStart w:id="21" w:name="updated-status-of-predictions"/>
    <w:p>
      <w:pPr>
        <w:pStyle w:val="Heading1"/>
      </w:pPr>
      <w:r>
        <w:t xml:space="preserve">1. Updated Status of Predictions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 (ν as TGFT-RG IR fixed point)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pending; ν in 10⁻³–10⁻²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ν ≈ 0.025, 1.9σ from zero, SN-driven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P22 (γ stage by stage)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P23 (TGFT-RG cascade transitions)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P24 (DA/O upper bound N ≤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P25 (DM peak counting →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mass reach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 insufficient by round-2 88-resource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P26 (BZ ↔ final-stage algebra)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P27 (geometric mass ratios)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P28 (staged CMB μ/y)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FIRAS-consistent, future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p>
      <w:pPr>
        <w:pStyle w:val="BodyText"/>
      </w:pPr>
      <w:r>
        <w:t xml:space="preserve">Inherited v5 predictions: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filament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17.8σ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Hedged: Tempel only, no replication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KSS in QGP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Near-saturated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Near-saturated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P7-ext multi-harmonic w(z)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audit 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Retracted: single peak ~2.4σ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P9a 1–2 GeV excess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Falsified,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P9c QGP dip-peak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Falsified,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P9d R_K = √3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fire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§6.1 local a₀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Robustly confirmed across both fit styles</w:t>
            </w:r>
          </w:p>
        </w:tc>
      </w:tr>
    </w:tbl>
    <w:bookmarkEnd w:id="21"/>
    <w:bookmarkStart w:id="22" w:name="effect-on-the-12-frameworks"/>
    <w:p>
      <w:pPr>
        <w:pStyle w:val="Heading1"/>
      </w:pPr>
      <w:r>
        <w:t xml:space="preserve">2. Effect on the 12 Frameworks</w:t>
      </w:r>
    </w:p>
    <w:p>
      <w:pPr>
        <w:pStyle w:val="FirstParagraph"/>
      </w:pPr>
      <w:r>
        <w:rPr>
          <w:bCs/>
          <w:b/>
        </w:rPr>
        <w:t xml:space="preserve">RVM (1.4)</w:t>
      </w:r>
      <w:r>
        <w:t xml:space="preserve"> </w:t>
      </w:r>
      <w:r>
        <w:t xml:space="preserve">— empirical ν central value updated to ~0.025, with the caveat that significance against ν = 0 is only 1.9σ and the signal is concentrated in Pantheon+ SNe rather than the BAO/CMB sectors that should encode a high-z running vacuum. v2.2 records this as</w:t>
      </w:r>
      <w:r>
        <w:t xml:space="preserve"> </w:t>
      </w:r>
      <w:r>
        <w:t xml:space="preserve">“</w:t>
      </w:r>
      <w:r>
        <w:t xml:space="preserve">weak empirical support, decisive test deferred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TGFT-RG (1.9)</w:t>
      </w:r>
      <w:r>
        <w:t xml:space="preserve"> </w:t>
      </w:r>
      <w:r>
        <w:t xml:space="preserve">— P22 / Resolution Path 6 (Bahr–Steinhaus stage by stage) was paused in v2.1 awaiting a converged ν. The audit is now closed with ν ≈ 0.025, so the implementation can proceed; v2.2 marks Path 6 as</w:t>
      </w:r>
      <w:r>
        <w:t xml:space="preserve"> </w:t>
      </w:r>
      <w:r>
        <w:rPr>
          <w:bCs/>
          <w:b/>
        </w:rPr>
        <w:t xml:space="preserve">unblocked</w:t>
      </w:r>
      <w:r>
        <w:t xml:space="preserve"> </w:t>
      </w:r>
      <w:r>
        <w:t xml:space="preserve">but not yet executed.</w:t>
      </w:r>
    </w:p>
    <w:p>
      <w:pPr>
        <w:pStyle w:val="BodyText"/>
      </w:pPr>
      <w:r>
        <w:rPr>
          <w:bCs/>
          <w:b/>
        </w:rPr>
        <w:t xml:space="preserve">DA/O (1.10)</w:t>
      </w:r>
      <w:r>
        <w:t xml:space="preserve"> </w:t>
      </w:r>
      <w:r>
        <w:t xml:space="preserve">— the upper bound N ≤ 11 is unaffected. P24 still passes as a consistency check on the gauge group.</w:t>
      </w:r>
    </w:p>
    <w:p>
      <w:pPr>
        <w:pStyle w:val="BodyText"/>
      </w:pPr>
      <w:r>
        <w:rPr>
          <w:bCs/>
          <w:b/>
        </w:rPr>
        <w:t xml:space="preserve">Koide reading (CCDR §6.3, propagated through SSM 1.3)</w:t>
      </w:r>
      <w:r>
        <w:t xml:space="preserve"> </w:t>
      </w:r>
      <w:r>
        <w:t xml:space="preserve">— the round-2 single-scale scan introduces a structural caveat: the Brillouin-zone derivation must be applied at sector-dependent crystallisation scales. v2.2 admits this in the SSM section: the spectral action’s reality property gives Q = 2/3</w:t>
      </w:r>
      <w:r>
        <w:t xml:space="preserve"> </w:t>
      </w:r>
      <w:r>
        <w:rPr>
          <w:iCs/>
          <w:i/>
        </w:rPr>
        <w:t xml:space="preserve">at</w:t>
      </w:r>
      <w:r>
        <w:t xml:space="preserve"> </w:t>
      </w:r>
      <w:r>
        <w:t xml:space="preserve">the relevant crystallisation scale of each sector, but the synthesis does not yet derive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leptons, up-quarks, and down-quarks crystallise at three different energies.</w:t>
      </w:r>
    </w:p>
    <w:p>
      <w:pPr>
        <w:pStyle w:val="BodyText"/>
      </w:pPr>
      <w:r>
        <w:rPr>
          <w:bCs/>
          <w:b/>
        </w:rPr>
        <w:t xml:space="preserve">HaPPY, AQN, CDT, TN, GFT+EPRL, SSM, AS, LGT, CCDR</w:t>
      </w:r>
      <w:r>
        <w:t xml:space="preserve"> </w:t>
      </w:r>
      <w:r>
        <w:t xml:space="preserve">— roles unchanged from v2.1. The round-2 tests do not directly probe these layers.</w:t>
      </w:r>
    </w:p>
    <w:bookmarkEnd w:id="22"/>
    <w:bookmarkStart w:id="23" w:name="the-three-branches"/>
    <w:p>
      <w:pPr>
        <w:pStyle w:val="Heading1"/>
      </w:pPr>
      <w:r>
        <w:t xml:space="preserve">3. The Three Branches</w:t>
      </w:r>
    </w:p>
    <w:p>
      <w:pPr>
        <w:pStyle w:val="FirstParagraph"/>
      </w:pPr>
      <w:r>
        <w:t xml:space="preserve">Branch architecture is unchanged. The robustly confirmed local a₀ retreat tightens the EG ↔ CDT+TN branch in the same way as v2.1: if the cascade interpretation were rejected and EG promoted to primary, EG must reproduce the Milgrom value, which it does. The branch remains a viable fallback.</w:t>
      </w:r>
    </w:p>
    <w:bookmarkEnd w:id="23"/>
    <w:bookmarkStart w:id="24" w:name="the-six-resolution-paths"/>
    <w:p>
      <w:pPr>
        <w:pStyle w:val="Heading1"/>
      </w:pPr>
      <w:r>
        <w:t xml:space="preserve">4. The Six Resolution Paths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Swampland → cascade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hold pending 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Unblocked (ν ≈ 0.025)</w:t>
            </w:r>
            <w:r>
              <w:t xml:space="preserve">, not yet executed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Neutrino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C₀ from first 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Strong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Quantum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Bahr–Steinhaus stage by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hold pending 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Unblocked (ν ≈ 0.025)</w:t>
            </w:r>
            <w:r>
              <w:t xml:space="preserve">, not yet executed</w:t>
            </w:r>
          </w:p>
        </w:tc>
      </w:tr>
    </w:tbl>
    <w:bookmarkEnd w:id="24"/>
    <w:bookmarkStart w:id="25" w:name="layered-falsifiability-round-2-update"/>
    <w:p>
      <w:pPr>
        <w:pStyle w:val="Heading1"/>
      </w:pPr>
      <w:r>
        <w:t xml:space="preserve">5. Layered Falsifiability — Round-2 Update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(CDT + cascade 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 (round-2 scan confirmed no public sensitivity)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(GFT + TGFT-RG)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ν audit closed; weak empirical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(TN + HaPPY)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(SSM + AS + DA/O)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(with sector-scale Koide caveat)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(RVM + CCDR)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confirmed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Mixed: a₀ confirmed, P3 hedged, P7-ext retracted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(baryogenesis)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layer is destabilised by round 2</w:t>
      </w:r>
      <w:r>
        <w:t xml:space="preserve">, but Layer 4’s headline support is now narrower than v2.1 implied. The cascade-side claims (cascade DM tower, cascade-stage RG flow) remain structurally untouched but empirically untested.</w:t>
      </w:r>
    </w:p>
    <w:bookmarkEnd w:id="25"/>
    <w:bookmarkStart w:id="26" w:name="open-problems-after-round-2"/>
    <w:p>
      <w:pPr>
        <w:pStyle w:val="Heading1"/>
      </w:pPr>
      <w:r>
        <w:t xml:space="preserve">6. Open Problems After Round 2</w:t>
      </w:r>
    </w:p>
    <w:p>
      <w:pPr>
        <w:pStyle w:val="FirstParagraph"/>
      </w:pPr>
      <w:r>
        <w:rPr>
          <w:bCs/>
          <w:b/>
        </w:rPr>
        <w:t xml:space="preserve">6.1</w:t>
      </w:r>
      <w:r>
        <w:t xml:space="preserve"> </w:t>
      </w:r>
      <w:r>
        <w:t xml:space="preserve">The 1.9σ ν signal is driven by SNe, not BAO/CMB. A running vacuum should leave its strongest imprint in the high-z sector. The interpretation of SN-dominated ν running is unclear. Resolution requires DESI DR3 (expected 2027) and a parallel SN systematics audit.</w:t>
      </w:r>
    </w:p>
    <w:p>
      <w:pPr>
        <w:pStyle w:val="BodyText"/>
      </w:pPr>
      <w:r>
        <w:rPr>
          <w:bCs/>
          <w:b/>
        </w:rPr>
        <w:t xml:space="preserve">6.2</w:t>
      </w:r>
      <w:r>
        <w:t xml:space="preserve"> </w:t>
      </w:r>
      <w:r>
        <w:t xml:space="preserve">The single oscillation-only w(z) peak at 10.89 cycles/redshift cannot be interpreted as a cascade signature without companion peaks. Roman/LSST data are needed to test multi-harmonic structure properly.</w:t>
      </w:r>
    </w:p>
    <w:p>
      <w:pPr>
        <w:pStyle w:val="BodyText"/>
      </w:pPr>
      <w:r>
        <w:rPr>
          <w:bCs/>
          <w:b/>
        </w:rPr>
        <w:t xml:space="preserve">6.3</w:t>
      </w:r>
      <w:r>
        <w:t xml:space="preserve"> </w:t>
      </w:r>
      <w:r>
        <w:t xml:space="preserve">Filament alignment requires a third independent reconstruction (DisPerSE on SDSS DR16) before any large-scale-ordering claim can be made.</w:t>
      </w:r>
    </w:p>
    <w:p>
      <w:pPr>
        <w:pStyle w:val="BodyText"/>
      </w:pPr>
      <w:r>
        <w:rPr>
          <w:bCs/>
          <w:b/>
        </w:rPr>
        <w:t xml:space="preserve">6.4</w:t>
      </w:r>
      <w:r>
        <w:t xml:space="preserve"> </w:t>
      </w:r>
      <w:r>
        <w:t xml:space="preserve">The cascade hard core remains untested. Tonne-scale direct detection with peak-resolution analyses is the only path forward.</w:t>
      </w:r>
    </w:p>
    <w:p>
      <w:pPr>
        <w:pStyle w:val="BodyText"/>
      </w:pPr>
      <w:r>
        <w:rPr>
          <w:bCs/>
          <w:b/>
        </w:rPr>
        <w:t xml:space="preserve">6.5</w:t>
      </w:r>
      <w:r>
        <w:t xml:space="preserve"> </w:t>
      </w:r>
      <w:r>
        <w:t xml:space="preserve">The Koide sector-dependent-scale admission in §6.3 needs first-principles justification, currently absent.</w:t>
      </w:r>
    </w:p>
    <w:bookmarkEnd w:id="26"/>
    <w:bookmarkStart w:id="27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After two rounds of public-data testing the synthesis architecture is intact but its empirical support is more cautious than v2.1 framed it. The single robust confirmation across both rounds is the local a₀ retreat. The single weak signal is ν &gt; 0 at 1.9σ. Two previously claimed supports (filament alignment, multi-harmonic w(z)) collapsed under round-2 scrutiny — both for methodological reasons that the original tests should have caught, and which the GPT-style robustness battery did catch. The cascade hard core remains untested for sensitivity reasons.</w:t>
      </w:r>
    </w:p>
    <w:p>
      <w:pPr>
        <w:pStyle w:val="BodyText"/>
      </w:pPr>
      <w:r>
        <w:t xml:space="preserve">Round 3, when it occurs, should focus on: (1) DESI DR3 ν re-derivation, (2) a third independent filament catalogue, (3) Bahr–Steinhaus stage-by-stage execution now that ν is unblocked, (4) Roman/LSST w(z) multi-harmonic tests when data arrive. None of these can deliver a hard-core test of the cascade picture; that waits on next-generation direct detection.</w:t>
      </w:r>
    </w:p>
    <w:p>
      <w:pPr>
        <w:pStyle w:val="BodyText"/>
      </w:pPr>
      <w:r>
        <w:t xml:space="preserve">The methodological commitment of v2.2 is that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future predictions in this synthesis must come with explicit falsification logic, leave-one-out checks, null controls, and where applicable independent replication, before any</w:t>
      </w:r>
      <w:r>
        <w:t xml:space="preserve"> </w:t>
      </w:r>
      <w:r>
        <w:t xml:space="preserve">“</w:t>
      </w:r>
      <w:r>
        <w:t xml:space="preserve">support</w:t>
      </w:r>
      <w:r>
        <w:t xml:space="preserve">”</w:t>
      </w:r>
      <w:r>
        <w:t xml:space="preserve"> </w:t>
      </w:r>
      <w:r>
        <w:t xml:space="preserve">claim is made.</w:t>
      </w:r>
    </w:p>
    <w:bookmarkEnd w:id="27"/>
    <w:bookmarkStart w:id="2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As in v2.1, plus the eight round-2 robustness scripts.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Manuscript prepared for double-blind peer review.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531">
    <w:nsid w:val="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Extended Crystallographic Synthesis (v2.2)</dc:title>
  <dc:creator>[Author names withheld]</dc:creator>
  <cp:keywords/>
  <dcterms:created xsi:type="dcterms:W3CDTF">2026-04-11T13:22:26Z</dcterms:created>
  <dcterms:modified xsi:type="dcterms:W3CDTF">2026-04-11T13:22:26Z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subtitle">
    <vt:lpwstr>12 + 3 + 6, aligned with CCDR v6.2, with Round-2 Robustness Tests Incorporated</vt:lpwstr>
  </property>
</Properties>
</file>