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Practical Applications of CDT–CCDR–TN:</w:t>
      </w:r>
    </w:p>
    <w:p>
      <w:pPr>
        <w:spacing w:after="60"/>
        <w:jc w:val="center"/>
      </w:pPr>
      <w:r>
        <w:rPr>
          <w:rFonts w:ascii="Cambria" w:cs="Cambria" w:eastAsia="Cambria" w:hAnsi="Cambria"/>
          <w:b/>
          <w:bCs/>
          <w:sz w:val="30"/>
          <w:szCs w:val="30"/>
        </w:rPr>
        <w:t xml:space="preserve">From Spacetime Crystal Physics to Engineering</w:t>
      </w:r>
    </w:p>
    <w:p>
      <w:pPr>
        <w:spacing w:after="40"/>
      </w:pPr>
    </w:p>
    <w:p>
      <w:pPr>
        <w:spacing w:after="60"/>
        <w:jc w:val="center"/>
      </w:pPr>
      <w:r>
        <w:rPr>
          <w:rFonts w:ascii="Cambria" w:cs="Cambria" w:eastAsia="Cambria" w:hAnsi="Cambria"/>
          <w:i/>
          <w:iCs/>
          <w:sz w:val="22"/>
          <w:szCs w:val="22"/>
        </w:rPr>
        <w:t xml:space="preserve">Quantum Computing, Fusion Reactors, Advanced Materials, and Electronics</w:t>
      </w:r>
    </w:p>
    <w:p>
      <w:pPr>
        <w:spacing w:after="60"/>
        <w:jc w:val="center"/>
      </w:pPr>
      <w:r>
        <w:rPr>
          <w:rFonts w:ascii="Cambria" w:cs="Cambria" w:eastAsia="Cambria" w:hAnsi="Cambria"/>
          <w:i/>
          <w:iCs/>
          <w:sz w:val="22"/>
          <w:szCs w:val="22"/>
        </w:rPr>
        <w:t xml:space="preserve">[Author names withheld] · March 2026</w:t>
      </w:r>
    </w:p>
    <w:p>
      <w:pPr>
        <w:spacing w:after="6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quantum error correction; holographic code; fusion plasma; KSS bound; phonon transport; grain boundary engineering; Landauer limit; tensor network; CDT; CCDR; topological qubits; plasma viscosity; thermal conductivity; information density</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identify four domains where the CDT–CCDR–TN framework generates engineering applications that go beyond what standard physics provides. (1) Quantum computing: the holographic tensor network code that emerges from CDT defines a specific quantum error-correcting code architecture whose code distance is set by the Ryu–Takayanagi minimal surface, potentially exceeding the threshold of surface codes. (2) Fusion reactors: the KSS bound η/s = ħ/4πk_B, identified in CCDR as the universal viscosity at dimensional phase boundaries, provides parameter-free predictions for plasma transport in the edge region where standard MHD breaks down. (3) Materials science: the CCDR grain boundary phonon scattering framework, developed to explain MOND, applies directly to thermal and electrical transport across grain boundaries in polycrystalline materials, predicting a “MOND-like” modification of thermal conductivity at low phonon energies. (4) Electronics: the CDT–TN bond dimension D = e^{1/4} per Planck-area face implies a fundamental information density bound tighter than the Bekenstein bound, with consequences for nanoscale device scaling. Each application is developed with specific quantitative predictions, comparison to existing approaches, and assessment of near-term feasibility.</w:t>
      </w:r>
    </w:p>
    <w:p>
      <w:pPr>
        <w:pStyle w:val="Heading1"/>
        <w:spacing w:before="320" w:after="160"/>
      </w:pPr>
      <w:r>
        <w:rPr>
          <w:rFonts w:ascii="Cambria" w:cs="Cambria" w:eastAsia="Cambria" w:hAnsi="Cambria"/>
          <w:b/>
          <w:bCs/>
          <w:sz w:val="26"/>
          <w:szCs w:val="26"/>
        </w:rPr>
        <w:t xml:space="preserve">Part I: Quantum Computing</w:t>
      </w:r>
    </w:p>
    <w:p>
      <w:pPr>
        <w:pStyle w:val="Heading2"/>
        <w:spacing w:before="240" w:after="120"/>
      </w:pPr>
      <w:r>
        <w:rPr>
          <w:rFonts w:ascii="Cambria" w:cs="Cambria" w:eastAsia="Cambria" w:hAnsi="Cambria"/>
          <w:b/>
          <w:bCs/>
          <w:i/>
          <w:iCs/>
          <w:sz w:val="23"/>
          <w:szCs w:val="23"/>
        </w:rPr>
        <w:t xml:space="preserve">1.1 The Problem: Quantum Error Correction at Scale</w:t>
      </w:r>
    </w:p>
    <w:p>
      <w:pPr>
        <w:spacing w:after="100" w:line="264"/>
        <w:jc w:val="both"/>
      </w:pPr>
      <w:r>
        <w:rPr>
          <w:rFonts w:ascii="Cambria" w:cs="Cambria" w:eastAsia="Cambria" w:hAnsi="Cambria"/>
          <w:sz w:val="22"/>
          <w:szCs w:val="22"/>
        </w:rPr>
        <w:t xml:space="preserve">The central challenge of quantum computing is decoherence: qubits lose their quantum information through interaction with the environment. Quantum error correction (QEC) protects information by encoding logical qubits into many physical qubits using a code with sufficient distance to detect and correct errors. The leading QEC architectures — surface codes, colour codes, and recently discovered good LDPC codes — each have characteristic tradeoffs between code distance, encoding rate, and the physical connectivity required.</w:t>
      </w:r>
    </w:p>
    <w:p>
      <w:pPr>
        <w:spacing w:after="100" w:line="264"/>
        <w:jc w:val="both"/>
      </w:pPr>
      <w:r>
        <w:rPr>
          <w:rFonts w:ascii="Cambria" w:cs="Cambria" w:eastAsia="Cambria" w:hAnsi="Cambria"/>
          <w:sz w:val="22"/>
          <w:szCs w:val="22"/>
        </w:rPr>
        <w:t xml:space="preserve">CDT–CCDR–TN offers a new QEC architecture derived from the holographic tensor network structure of spacetime itself.</w:t>
      </w:r>
    </w:p>
    <w:p>
      <w:pPr>
        <w:pStyle w:val="Heading2"/>
        <w:spacing w:before="240" w:after="120"/>
      </w:pPr>
      <w:r>
        <w:rPr>
          <w:rFonts w:ascii="Cambria" w:cs="Cambria" w:eastAsia="Cambria" w:hAnsi="Cambria"/>
          <w:b/>
          <w:bCs/>
          <w:i/>
          <w:iCs/>
          <w:sz w:val="23"/>
          <w:szCs w:val="23"/>
        </w:rPr>
        <w:t xml:space="preserve">1.2 The Holographic Code from CDT–TN</w:t>
      </w:r>
    </w:p>
    <w:p>
      <w:pPr>
        <w:spacing w:after="100" w:line="264"/>
        <w:jc w:val="both"/>
      </w:pPr>
      <w:r>
        <w:rPr>
          <w:rFonts w:ascii="Cambria" w:cs="Cambria" w:eastAsia="Cambria" w:hAnsi="Cambria"/>
          <w:sz w:val="22"/>
          <w:szCs w:val="22"/>
        </w:rPr>
        <w:t xml:space="preserve">In CDT–CCDR–TN, the projection map from bulk to boundary is a quantum error-correcting code (Almheiri–Dong–Harlow 2015). The bulk degrees of freedom (logical qubits) are encoded into the boundary degrees of freedom (physical qubits) via the tensor network contraction. The code has three properties that are directly relevant to quantum computing:</w:t>
      </w:r>
    </w:p>
    <w:p>
      <w:pPr>
        <w:spacing w:after="100" w:line="264"/>
        <w:jc w:val="both"/>
      </w:pPr>
      <w:r>
        <w:rPr>
          <w:rFonts w:ascii="Cambria" w:cs="Cambria" w:eastAsia="Cambria" w:hAnsi="Cambria"/>
          <w:b/>
          <w:bCs/>
          <w:sz w:val="22"/>
          <w:szCs w:val="22"/>
        </w:rPr>
        <w:t xml:space="preserve">(a) Code distance from RT minimal surface. </w:t>
      </w:r>
      <w:r>
        <w:rPr>
          <w:rFonts w:ascii="Cambria" w:cs="Cambria" w:eastAsia="Cambria" w:hAnsi="Cambria"/>
          <w:sz w:val="22"/>
          <w:szCs w:val="22"/>
        </w:rPr>
        <w:t xml:space="preserve">The code distance d (the number of physical qubit errors that can be corrected) is determined by the minimal cut through the tensor network — the RT minimal surface. In the CDT triangulation, this is the minimum number of simplex faces that must be cut to disconnect a bulk region from the boundary. For a CDT C-phase triangulation with N_4 simplices, the minimal cut scales as:</w:t>
      </w:r>
    </w:p>
    <w:p>
      <w:pPr>
        <w:spacing w:before="140" w:after="140"/>
        <w:ind w:left="480"/>
      </w:pPr>
      <w:r>
        <w:rPr>
          <w:rFonts w:ascii="Cambria Math" w:cs="Cambria Math" w:eastAsia="Cambria Math" w:hAnsi="Cambria Math"/>
          <w:i/>
          <w:iCs/>
          <w:sz w:val="22"/>
          <w:szCs w:val="22"/>
        </w:rPr>
        <w:t xml:space="preserve">d ~ N_4^{(D-2)/D} for a D-dimensional triangulation</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In 3D (the most computationally accessible case), d ~ N_4^{1/3}. For a triangulation with N_4 = 10^6 simplices, d ~ 100 — substantially higher than the ~20–50 distances achievable with current surface code implementations at comparable physical qubit counts.</w:t>
      </w:r>
    </w:p>
    <w:p>
      <w:pPr>
        <w:spacing w:after="100" w:line="264"/>
        <w:jc w:val="both"/>
      </w:pPr>
      <w:r>
        <w:rPr>
          <w:rFonts w:ascii="Cambria" w:cs="Cambria" w:eastAsia="Cambria" w:hAnsi="Cambria"/>
          <w:b/>
          <w:bCs/>
          <w:sz w:val="22"/>
          <w:szCs w:val="22"/>
        </w:rPr>
        <w:t xml:space="preserve">(b) Encoding rate from holographic redundancy. </w:t>
      </w:r>
      <w:r>
        <w:rPr>
          <w:rFonts w:ascii="Cambria" w:cs="Cambria" w:eastAsia="Cambria" w:hAnsi="Cambria"/>
          <w:sz w:val="22"/>
          <w:szCs w:val="22"/>
        </w:rPr>
        <w:t xml:space="preserve">The encoding rate k/n (logical qubits per physical qubit) is determined by the ratio of bulk to boundary degrees of freedom in the tensor network. In a D-dimensional CDT triangulation, the boundary has ~ N_4^{(D-1)/D} faces while the bulk has ~ N_4 faces, giving:</w:t>
      </w:r>
    </w:p>
    <w:p>
      <w:pPr>
        <w:spacing w:before="140" w:after="140"/>
        <w:ind w:left="480"/>
      </w:pPr>
      <w:r>
        <w:rPr>
          <w:rFonts w:ascii="Cambria Math" w:cs="Cambria Math" w:eastAsia="Cambria Math" w:hAnsi="Cambria Math"/>
          <w:i/>
          <w:iCs/>
          <w:sz w:val="22"/>
          <w:szCs w:val="22"/>
        </w:rPr>
        <w:t xml:space="preserve">k/n ~ N_4^{1/D} / N_4 = N_4^{(1-D)/D}</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This is a low encoding rate (vanishing as N_4 → ∞), which is the well-known limitation of holographic codes. However, the rate can be improved by using a non-uniform tensor network where the bulk is not fully utilised — encoding only in the central region of the tensor network and leaving the outer layers as protection.</w:t>
      </w:r>
    </w:p>
    <w:p>
      <w:pPr>
        <w:spacing w:after="100" w:line="264"/>
        <w:jc w:val="both"/>
      </w:pPr>
      <w:r>
        <w:rPr>
          <w:rFonts w:ascii="Cambria" w:cs="Cambria" w:eastAsia="Cambria" w:hAnsi="Cambria"/>
          <w:b/>
          <w:bCs/>
          <w:sz w:val="22"/>
          <w:szCs w:val="22"/>
        </w:rPr>
        <w:t xml:space="preserve">(c) Local correctability from entanglement wedge reconstruction. </w:t>
      </w:r>
      <w:r>
        <w:rPr>
          <w:rFonts w:ascii="Cambria" w:cs="Cambria" w:eastAsia="Cambria" w:hAnsi="Cambria"/>
          <w:sz w:val="22"/>
          <w:szCs w:val="22"/>
        </w:rPr>
        <w:t xml:space="preserve">In the holographic code, a bulk operator can be reconstructed from any boundary subregion whose entanglement wedge contains the bulk operator. This means errors on any boundary subregion smaller than the complementary entanglement wedge can be corrected without accessing the full boundary. This is a form of local correctability that surface codes do not naturally possess.</w:t>
      </w:r>
    </w:p>
    <w:p>
      <w:pPr>
        <w:pStyle w:val="Heading2"/>
        <w:spacing w:before="240" w:after="120"/>
      </w:pPr>
      <w:r>
        <w:rPr>
          <w:rFonts w:ascii="Cambria" w:cs="Cambria" w:eastAsia="Cambria" w:hAnsi="Cambria"/>
          <w:b/>
          <w:bCs/>
          <w:i/>
          <w:iCs/>
          <w:sz w:val="23"/>
          <w:szCs w:val="23"/>
        </w:rPr>
        <w:t xml:space="preserve">1.3 The CDT Code Architecture</w:t>
      </w:r>
    </w:p>
    <w:p>
      <w:pPr>
        <w:spacing w:after="100" w:line="264"/>
        <w:jc w:val="both"/>
      </w:pPr>
      <w:r>
        <w:rPr>
          <w:rFonts w:ascii="Cambria" w:cs="Cambria" w:eastAsia="Cambria" w:hAnsi="Cambria"/>
          <w:sz w:val="22"/>
          <w:szCs w:val="22"/>
        </w:rPr>
        <w:t xml:space="preserve">The specific code architecture derived from CDT–TN is:</w:t>
      </w:r>
    </w:p>
    <w:p>
      <w:pPr>
        <w:spacing w:after="100" w:line="264"/>
        <w:jc w:val="both"/>
      </w:pPr>
      <w:r>
        <w:rPr>
          <w:rFonts w:ascii="Cambria" w:cs="Cambria" w:eastAsia="Cambria" w:hAnsi="Cambria"/>
          <w:sz w:val="22"/>
          <w:szCs w:val="22"/>
        </w:rPr>
        <w:t xml:space="preserve">Physical qubits: placed on the boundary faces of a CDT C-phase triangulation.</w:t>
      </w:r>
    </w:p>
    <w:p>
      <w:pPr>
        <w:spacing w:after="100" w:line="264"/>
        <w:jc w:val="both"/>
      </w:pPr>
      <w:r>
        <w:rPr>
          <w:rFonts w:ascii="Cambria" w:cs="Cambria" w:eastAsia="Cambria" w:hAnsi="Cambria"/>
          <w:sz w:val="22"/>
          <w:szCs w:val="22"/>
        </w:rPr>
        <w:t xml:space="preserve">Logical qubits: placed in the bulk of the triangulation, one per bulk region.</w:t>
      </w:r>
    </w:p>
    <w:p>
      <w:pPr>
        <w:spacing w:after="100" w:line="264"/>
        <w:jc w:val="both"/>
      </w:pPr>
      <w:r>
        <w:rPr>
          <w:rFonts w:ascii="Cambria" w:cs="Cambria" w:eastAsia="Cambria" w:hAnsi="Cambria"/>
          <w:sz w:val="22"/>
          <w:szCs w:val="22"/>
        </w:rPr>
        <w:t xml:space="preserve">Encoding circuit: the tensor network contraction, implemented as a sequence of local unitary gates corresponding to the tensors at each simplex.</w:t>
      </w:r>
    </w:p>
    <w:p>
      <w:pPr>
        <w:spacing w:after="100" w:line="264"/>
        <w:jc w:val="both"/>
      </w:pPr>
      <w:r>
        <w:rPr>
          <w:rFonts w:ascii="Cambria" w:cs="Cambria" w:eastAsia="Cambria" w:hAnsi="Cambria"/>
          <w:sz w:val="22"/>
          <w:szCs w:val="22"/>
        </w:rPr>
        <w:t xml:space="preserve">Syndrome measurement: boundary measurements of stabiliser operators derived from the RT minimal surfaces.</w:t>
      </w:r>
    </w:p>
    <w:p>
      <w:pPr>
        <w:spacing w:after="100" w:line="264"/>
        <w:jc w:val="both"/>
      </w:pPr>
      <w:r>
        <w:rPr>
          <w:rFonts w:ascii="Cambria" w:cs="Cambria" w:eastAsia="Cambria" w:hAnsi="Cambria"/>
          <w:sz w:val="22"/>
          <w:szCs w:val="22"/>
        </w:rPr>
        <w:t xml:space="preserve">Decoder: minimum-weight perfect matching on the dual graph of the triangulation (analogous to the MWPM decoder for surface codes, but on the CDT graph rather than a regular lattice).</w:t>
      </w:r>
    </w:p>
    <w:p>
      <w:pPr>
        <w:spacing w:after="100" w:line="264"/>
        <w:jc w:val="both"/>
      </w:pPr>
      <w:r>
        <w:rPr>
          <w:rFonts w:ascii="Cambria" w:cs="Cambria" w:eastAsia="Cambria" w:hAnsi="Cambria"/>
          <w:sz w:val="22"/>
          <w:szCs w:val="22"/>
        </w:rPr>
        <w:t xml:space="preserve">The key advantage over surface codes: the CDT triangulation is not a regular lattice. Its connectivity is determined by the Regge action, which optimises the geometric structure. This irregular connectivity potentially provides better code properties than the regular square lattice used in surface codes, because the irregular structure creates a more diverse set of error paths, making it harder for errors to cascade.</w:t>
      </w:r>
    </w:p>
    <w:p>
      <w:pPr>
        <w:pStyle w:val="Heading2"/>
        <w:spacing w:before="240" w:after="120"/>
      </w:pPr>
      <w:r>
        <w:rPr>
          <w:rFonts w:ascii="Cambria" w:cs="Cambria" w:eastAsia="Cambria" w:hAnsi="Cambria"/>
          <w:b/>
          <w:bCs/>
          <w:i/>
          <w:iCs/>
          <w:sz w:val="23"/>
          <w:szCs w:val="23"/>
        </w:rPr>
        <w:t xml:space="preserve">1.4 Concrete Implementation Path</w:t>
      </w:r>
    </w:p>
    <w:p>
      <w:pPr>
        <w:spacing w:after="100" w:line="264"/>
        <w:jc w:val="both"/>
      </w:pPr>
      <w:r>
        <w:rPr>
          <w:rFonts w:ascii="Cambria" w:cs="Cambria" w:eastAsia="Cambria" w:hAnsi="Cambria"/>
          <w:b/>
          <w:bCs/>
          <w:sz w:val="22"/>
          <w:szCs w:val="22"/>
        </w:rPr>
        <w:t xml:space="preserve">Step 1: </w:t>
      </w:r>
      <w:r>
        <w:rPr>
          <w:rFonts w:ascii="Cambria" w:cs="Cambria" w:eastAsia="Cambria" w:hAnsi="Cambria"/>
          <w:sz w:val="22"/>
          <w:szCs w:val="22"/>
        </w:rPr>
        <w:t xml:space="preserve">Generate a CDT C-phase triangulation in 3D with N_4 ~ 10^3–10^4 simplices (computationally feasible on a laptop).</w:t>
      </w:r>
    </w:p>
    <w:p>
      <w:pPr>
        <w:spacing w:after="100" w:line="264"/>
        <w:jc w:val="both"/>
      </w:pPr>
      <w:r>
        <w:rPr>
          <w:rFonts w:ascii="Cambria" w:cs="Cambria" w:eastAsia="Cambria" w:hAnsi="Cambria"/>
          <w:b/>
          <w:bCs/>
          <w:sz w:val="22"/>
          <w:szCs w:val="22"/>
        </w:rPr>
        <w:t xml:space="preserve">Step 2: </w:t>
      </w:r>
      <w:r>
        <w:rPr>
          <w:rFonts w:ascii="Cambria" w:cs="Cambria" w:eastAsia="Cambria" w:hAnsi="Cambria"/>
          <w:sz w:val="22"/>
          <w:szCs w:val="22"/>
        </w:rPr>
        <w:t xml:space="preserve">Extract the boundary graph and the bulk-to-boundary tensor network contraction.</w:t>
      </w:r>
    </w:p>
    <w:p>
      <w:pPr>
        <w:spacing w:after="100" w:line="264"/>
        <w:jc w:val="both"/>
      </w:pPr>
      <w:r>
        <w:rPr>
          <w:rFonts w:ascii="Cambria" w:cs="Cambria" w:eastAsia="Cambria" w:hAnsi="Cambria"/>
          <w:b/>
          <w:bCs/>
          <w:sz w:val="22"/>
          <w:szCs w:val="22"/>
        </w:rPr>
        <w:t xml:space="preserve">Step 3: </w:t>
      </w:r>
      <w:r>
        <w:rPr>
          <w:rFonts w:ascii="Cambria" w:cs="Cambria" w:eastAsia="Cambria" w:hAnsi="Cambria"/>
          <w:sz w:val="22"/>
          <w:szCs w:val="22"/>
        </w:rPr>
        <w:t xml:space="preserve">Compile the tensor network into a circuit of 2-qubit gates (each tensor decomposes into a product of controlled rotations).</w:t>
      </w:r>
    </w:p>
    <w:p>
      <w:pPr>
        <w:spacing w:after="100" w:line="264"/>
        <w:jc w:val="both"/>
      </w:pPr>
      <w:r>
        <w:rPr>
          <w:rFonts w:ascii="Cambria" w:cs="Cambria" w:eastAsia="Cambria" w:hAnsi="Cambria"/>
          <w:b/>
          <w:bCs/>
          <w:sz w:val="22"/>
          <w:szCs w:val="22"/>
        </w:rPr>
        <w:t xml:space="preserve">Step 4: </w:t>
      </w:r>
      <w:r>
        <w:rPr>
          <w:rFonts w:ascii="Cambria" w:cs="Cambria" w:eastAsia="Cambria" w:hAnsi="Cambria"/>
          <w:sz w:val="22"/>
          <w:szCs w:val="22"/>
        </w:rPr>
        <w:t xml:space="preserve">Simulate the resulting code on a classical QEC simulator to measure: code distance, logical error rate vs physical error rate, threshold error rate.</w:t>
      </w:r>
    </w:p>
    <w:p>
      <w:pPr>
        <w:spacing w:after="100" w:line="264"/>
        <w:jc w:val="both"/>
      </w:pPr>
      <w:r>
        <w:rPr>
          <w:rFonts w:ascii="Cambria" w:cs="Cambria" w:eastAsia="Cambria" w:hAnsi="Cambria"/>
          <w:b/>
          <w:bCs/>
          <w:sz w:val="22"/>
          <w:szCs w:val="22"/>
        </w:rPr>
        <w:t xml:space="preserve">Step 5: </w:t>
      </w:r>
      <w:r>
        <w:rPr>
          <w:rFonts w:ascii="Cambria" w:cs="Cambria" w:eastAsia="Cambria" w:hAnsi="Cambria"/>
          <w:sz w:val="22"/>
          <w:szCs w:val="22"/>
        </w:rPr>
        <w:t xml:space="preserve">Compare with surface code of the same size.</w:t>
      </w:r>
    </w:p>
    <w:p>
      <w:pPr>
        <w:spacing w:after="100" w:line="264"/>
        <w:jc w:val="both"/>
      </w:pPr>
      <w:r>
        <w:rPr>
          <w:rFonts w:ascii="Cambria" w:cs="Cambria" w:eastAsia="Cambria" w:hAnsi="Cambria"/>
          <w:sz w:val="22"/>
          <w:szCs w:val="22"/>
        </w:rPr>
        <w:t xml:space="preserve">This is achievable with existing tools: CDT-plusplus for triangulation generation, Stim or PyMatching for QEC simulation. The entire pipeline can be built by a single researcher in weeks.</w:t>
      </w:r>
    </w:p>
    <w:p>
      <w:pPr>
        <w:pStyle w:val="Heading2"/>
        <w:spacing w:before="240" w:after="120"/>
      </w:pPr>
      <w:r>
        <w:rPr>
          <w:rFonts w:ascii="Cambria" w:cs="Cambria" w:eastAsia="Cambria" w:hAnsi="Cambria"/>
          <w:b/>
          <w:bCs/>
          <w:i/>
          <w:iCs/>
          <w:sz w:val="23"/>
          <w:szCs w:val="23"/>
        </w:rPr>
        <w:t xml:space="preserve">1.5 Quantitative Predictions</w:t>
      </w:r>
    </w:p>
    <w:p>
      <w:pPr>
        <w:spacing w:after="100" w:line="264"/>
        <w:jc w:val="both"/>
      </w:pPr>
      <w:r>
        <w:rPr>
          <w:rFonts w:ascii="Cambria" w:cs="Cambria" w:eastAsia="Cambria" w:hAnsi="Cambria"/>
          <w:b/>
          <w:bCs/>
          <w:sz w:val="22"/>
          <w:szCs w:val="22"/>
        </w:rPr>
        <w:t xml:space="preserve">QC1: </w:t>
      </w:r>
      <w:r>
        <w:rPr>
          <w:rFonts w:ascii="Cambria" w:cs="Cambria" w:eastAsia="Cambria" w:hAnsi="Cambria"/>
          <w:sz w:val="22"/>
          <w:szCs w:val="22"/>
        </w:rPr>
        <w:t xml:space="preserve">The CDT holographic code should achieve code distance d ~ N^{1/3} for N physical qubits, compared to d ~ N^{1/2} for surface codes. At N = 1000 physical qubits: CDT code d ~ 10, surface code d ~ 31. CDT code is worse at small N.</w:t>
      </w:r>
    </w:p>
    <w:p>
      <w:pPr>
        <w:spacing w:after="100" w:line="264"/>
        <w:jc w:val="both"/>
      </w:pPr>
      <w:r>
        <w:rPr>
          <w:rFonts w:ascii="Cambria" w:cs="Cambria" w:eastAsia="Cambria" w:hAnsi="Cambria"/>
          <w:b/>
          <w:bCs/>
          <w:sz w:val="22"/>
          <w:szCs w:val="22"/>
        </w:rPr>
        <w:t xml:space="preserve">QC2: </w:t>
      </w:r>
      <w:r>
        <w:rPr>
          <w:rFonts w:ascii="Cambria" w:cs="Cambria" w:eastAsia="Cambria" w:hAnsi="Cambria"/>
          <w:sz w:val="22"/>
          <w:szCs w:val="22"/>
        </w:rPr>
        <w:t xml:space="preserve">At N &gt; 10^5, the CDT code distance should exceed the surface code distance because the holographic structure provides non-local protection that the planar surface code cannot match.</w:t>
      </w:r>
    </w:p>
    <w:p>
      <w:pPr>
        <w:spacing w:after="100" w:line="264"/>
        <w:jc w:val="both"/>
      </w:pPr>
      <w:r>
        <w:rPr>
          <w:rFonts w:ascii="Cambria" w:cs="Cambria" w:eastAsia="Cambria" w:hAnsi="Cambria"/>
          <w:b/>
          <w:bCs/>
          <w:sz w:val="22"/>
          <w:szCs w:val="22"/>
        </w:rPr>
        <w:t xml:space="preserve">QC3: </w:t>
      </w:r>
      <w:r>
        <w:rPr>
          <w:rFonts w:ascii="Cambria" w:cs="Cambria" w:eastAsia="Cambria" w:hAnsi="Cambria"/>
          <w:sz w:val="22"/>
          <w:szCs w:val="22"/>
        </w:rPr>
        <w:t xml:space="preserve">The threshold error rate p_th of the CDT holographic code should be comparable to or slightly below the surface code threshold (~1%) for standard depolarising noise, but potentially higher for correlated (geometric) noise models.</w:t>
      </w:r>
    </w:p>
    <w:p>
      <w:pPr>
        <w:spacing w:after="100" w:line="264"/>
        <w:jc w:val="both"/>
      </w:pPr>
      <w:r>
        <w:rPr>
          <w:rFonts w:ascii="Cambria" w:cs="Cambria" w:eastAsia="Cambria" w:hAnsi="Cambria"/>
          <w:b/>
          <w:bCs/>
          <w:sz w:val="22"/>
          <w:szCs w:val="22"/>
        </w:rPr>
        <w:t xml:space="preserve">QC4: </w:t>
      </w:r>
      <w:r>
        <w:rPr>
          <w:rFonts w:ascii="Cambria" w:cs="Cambria" w:eastAsia="Cambria" w:hAnsi="Cambria"/>
          <w:sz w:val="22"/>
          <w:szCs w:val="22"/>
        </w:rPr>
        <w:t xml:space="preserve">The CDT code should show superior performance against burst errors (errors affecting spatially localised clusters of qubits), because the RT minimal surface must traverse the full bulk to disconnect any boundary region — local boundary damage cannot destroy the logical qubit as long as the complementary region remains intact.</w:t>
      </w:r>
    </w:p>
    <w:p>
      <w:pPr>
        <w:pStyle w:val="Heading1"/>
        <w:spacing w:before="320" w:after="160"/>
      </w:pPr>
      <w:r>
        <w:rPr>
          <w:rFonts w:ascii="Cambria" w:cs="Cambria" w:eastAsia="Cambria" w:hAnsi="Cambria"/>
          <w:b/>
          <w:bCs/>
          <w:sz w:val="26"/>
          <w:szCs w:val="26"/>
        </w:rPr>
        <w:t xml:space="preserve">Part II: Fusion Reactors</w:t>
      </w:r>
    </w:p>
    <w:p>
      <w:pPr>
        <w:pStyle w:val="Heading2"/>
        <w:spacing w:before="240" w:after="120"/>
      </w:pPr>
      <w:r>
        <w:rPr>
          <w:rFonts w:ascii="Cambria" w:cs="Cambria" w:eastAsia="Cambria" w:hAnsi="Cambria"/>
          <w:b/>
          <w:bCs/>
          <w:i/>
          <w:iCs/>
          <w:sz w:val="23"/>
          <w:szCs w:val="23"/>
        </w:rPr>
        <w:t xml:space="preserve">2.1 The Problem: Plasma Edge Transport</w:t>
      </w:r>
    </w:p>
    <w:p>
      <w:pPr>
        <w:spacing w:after="100" w:line="264"/>
        <w:jc w:val="both"/>
      </w:pPr>
      <w:r>
        <w:rPr>
          <w:rFonts w:ascii="Cambria" w:cs="Cambria" w:eastAsia="Cambria" w:hAnsi="Cambria"/>
          <w:sz w:val="22"/>
          <w:szCs w:val="22"/>
        </w:rPr>
        <w:t xml:space="preserve">Magnetic confinement fusion (tokamaks, stellarators) confines a deuterium-tritium plasma at T ~ 10–20 keV (~10^8 K) within a magnetic field. The plasma core is reasonably well described by neoclassical transport theory. The plasma edge — the transition region between the hot core and the cold wall — is not. Edge transport is anomalous: the measured particle and heat transport coefficients exceed neoclassical predictions by factors of 10–100. This anomalous transport determines the confinement quality and is the primary obstacle to achieving net energy gain.</w:t>
      </w:r>
    </w:p>
    <w:p>
      <w:pPr>
        <w:spacing w:after="100" w:line="264"/>
        <w:jc w:val="both"/>
      </w:pPr>
      <w:r>
        <w:rPr>
          <w:rFonts w:ascii="Cambria" w:cs="Cambria" w:eastAsia="Cambria" w:hAnsi="Cambria"/>
          <w:sz w:val="22"/>
          <w:szCs w:val="22"/>
        </w:rPr>
        <w:t xml:space="preserve">No first-principles theory predicts the edge transport coefficients. They are measured empirically and fitted with ad hoc models (Bohm diffusion, gyro-Bohm scaling, various turbulence prescriptions). ITER’s design relies on empirical scaling laws extrapolated from smaller devices — a risky approach for a $25B machine.</w:t>
      </w:r>
    </w:p>
    <w:p>
      <w:pPr>
        <w:pStyle w:val="Heading2"/>
        <w:spacing w:before="240" w:after="120"/>
      </w:pPr>
      <w:r>
        <w:rPr>
          <w:rFonts w:ascii="Cambria" w:cs="Cambria" w:eastAsia="Cambria" w:hAnsi="Cambria"/>
          <w:b/>
          <w:bCs/>
          <w:i/>
          <w:iCs/>
          <w:sz w:val="23"/>
          <w:szCs w:val="23"/>
        </w:rPr>
        <w:t xml:space="preserve">2.2 The KSS Bound as a Transport Prediction</w:t>
      </w:r>
    </w:p>
    <w:p>
      <w:pPr>
        <w:spacing w:after="100" w:line="264"/>
        <w:jc w:val="both"/>
      </w:pPr>
      <w:r>
        <w:rPr>
          <w:rFonts w:ascii="Cambria" w:cs="Cambria" w:eastAsia="Cambria" w:hAnsi="Cambria"/>
          <w:sz w:val="22"/>
          <w:szCs w:val="22"/>
        </w:rPr>
        <w:t xml:space="preserve">In CCDR, the KSS bound η/s = ħ/4πk_B is the universal minimum viscosity ratio at a dimensional phase boundary. The quark-gluon plasma at RHIC/LHC saturates this bound, as do black holes. CCDR identifies a third system that should approach KSS saturation: the plasma edge in a fusion reactor.</w:t>
      </w:r>
    </w:p>
    <w:p>
      <w:pPr>
        <w:spacing w:after="100" w:line="264"/>
        <w:jc w:val="both"/>
      </w:pPr>
      <w:r>
        <w:rPr>
          <w:rFonts w:ascii="Cambria" w:cs="Cambria" w:eastAsia="Cambria" w:hAnsi="Cambria"/>
          <w:sz w:val="22"/>
          <w:szCs w:val="22"/>
        </w:rPr>
        <w:t xml:space="preserve">The argument: in the plasma edge, the magnetic field creates an effective dimensional reduction. Charged particles spiral along field lines, making their motion effectively 1D (along the field) rather than 3D. The edge region is the transition from 3D (bulk plasma) to 1D (magnetically confined), analogous to the 3+1D → 2+1D reduction at a black hole horizon. When the plasma approaches this dimensional boundary, its transport properties should approach the KSS bound.</w:t>
      </w:r>
    </w:p>
    <w:p>
      <w:pPr>
        <w:spacing w:after="100" w:line="264"/>
        <w:jc w:val="both"/>
      </w:pPr>
      <w:r>
        <w:rPr>
          <w:rFonts w:ascii="Cambria" w:cs="Cambria" w:eastAsia="Cambria" w:hAnsi="Cambria"/>
          <w:sz w:val="22"/>
          <w:szCs w:val="22"/>
        </w:rPr>
        <w:t xml:space="preserve">Specifically, the effective kinematic viscosity of the edge plasma should satisfy:</w:t>
      </w:r>
    </w:p>
    <w:p>
      <w:pPr>
        <w:spacing w:before="140" w:after="140"/>
        <w:ind w:left="480"/>
      </w:pPr>
      <w:r>
        <w:rPr>
          <w:rFonts w:ascii="Cambria Math" w:cs="Cambria Math" w:eastAsia="Cambria Math" w:hAnsi="Cambria Math"/>
          <w:i/>
          <w:iCs/>
          <w:sz w:val="22"/>
          <w:szCs w:val="22"/>
        </w:rPr>
        <w:t xml:space="preserve">ν_edge ≥ ħ/(4π m_i) ≈ 1.7 × 10⁻³ m²/s for deuterium</w:t>
      </w:r>
      <w:r>
        <w:rPr>
          <w:rFonts w:ascii="Cambria" w:cs="Cambria" w:eastAsia="Cambria" w:hAnsi="Cambria"/>
          <w:sz w:val="22"/>
          <w:szCs w:val="22"/>
        </w:rPr>
        <w:t xml:space="preserve">    (3)</w:t>
      </w:r>
    </w:p>
    <w:p>
      <w:pPr>
        <w:spacing w:after="100" w:line="264"/>
        <w:jc w:val="both"/>
      </w:pPr>
      <w:r>
        <w:rPr>
          <w:rFonts w:ascii="Cambria" w:cs="Cambria" w:eastAsia="Cambria" w:hAnsi="Cambria"/>
          <w:sz w:val="22"/>
          <w:szCs w:val="22"/>
        </w:rPr>
        <w:t xml:space="preserve">where m_i is the ion mass. This is the quantum mechanical minimum viscosity — the viscosity of a fluid at its most perfect, least viscous state.</w:t>
      </w:r>
    </w:p>
    <w:p>
      <w:pPr>
        <w:pStyle w:val="Heading2"/>
        <w:spacing w:before="240" w:after="120"/>
      </w:pPr>
      <w:r>
        <w:rPr>
          <w:rFonts w:ascii="Cambria" w:cs="Cambria" w:eastAsia="Cambria" w:hAnsi="Cambria"/>
          <w:b/>
          <w:bCs/>
          <w:i/>
          <w:iCs/>
          <w:sz w:val="23"/>
          <w:szCs w:val="23"/>
        </w:rPr>
        <w:t xml:space="preserve">2.3 Implications for Fusion Design</w:t>
      </w:r>
    </w:p>
    <w:p>
      <w:pPr>
        <w:spacing w:after="100" w:line="264"/>
        <w:jc w:val="both"/>
      </w:pPr>
      <w:r>
        <w:rPr>
          <w:rFonts w:ascii="Cambria" w:cs="Cambria" w:eastAsia="Cambria" w:hAnsi="Cambria"/>
          <w:b/>
          <w:bCs/>
          <w:sz w:val="22"/>
          <w:szCs w:val="22"/>
        </w:rPr>
        <w:t xml:space="preserve">(a) Minimum achievable edge transport. </w:t>
      </w:r>
      <w:r>
        <w:rPr>
          <w:rFonts w:ascii="Cambria" w:cs="Cambria" w:eastAsia="Cambria" w:hAnsi="Cambria"/>
          <w:sz w:val="22"/>
          <w:szCs w:val="22"/>
        </w:rPr>
        <w:t xml:space="preserve">If the edge plasma approaches KSS, there is a fundamental floor on the transport coefficients that no engineering improvement can reduce. The minimum thermal diffusivity is χ_min ~ ħ/(4π m_i) ~ 10⁻³ m²/s. Current tokamak edge diffusivities are χ ~ 0.1–1 m²/s — two to three orders of magnitude above the KSS floor. This means there is substantial room for improvement: better edge control (shaping, biasing, ergodic divertors) could in principle reduce edge transport by a factor of 100–1000.</w:t>
      </w:r>
    </w:p>
    <w:p>
      <w:pPr>
        <w:spacing w:after="100" w:line="264"/>
        <w:jc w:val="both"/>
      </w:pPr>
      <w:r>
        <w:rPr>
          <w:rFonts w:ascii="Cambria" w:cs="Cambria" w:eastAsia="Cambria" w:hAnsi="Cambria"/>
          <w:b/>
          <w:bCs/>
          <w:sz w:val="22"/>
          <w:szCs w:val="22"/>
        </w:rPr>
        <w:t xml:space="preserve">(b) H-mode transition as a χ transition. </w:t>
      </w:r>
      <w:r>
        <w:rPr>
          <w:rFonts w:ascii="Cambria" w:cs="Cambria" w:eastAsia="Cambria" w:hAnsi="Cambria"/>
          <w:sz w:val="22"/>
          <w:szCs w:val="22"/>
        </w:rPr>
        <w:t xml:space="preserve">The L–H mode transition in tokamaks (where the edge transport suddenly drops and confinement improves by a factor of ~2) can be interpreted as the edge plasma crossing a dimensional phase boundary: in L-mode, the edge is 3D-turbulent (χ &gt;&gt; 1 in CCDR language); in H-mode, the edge is partially dimensionally reduced (effective 2D transport, χ ~ 1). The H-mode pedestal is the crystal’s surface — the boundary between the ordered core and the disordered edge. The pedestal pressure is the elastic stress at this crystal surface.</w:t>
      </w:r>
    </w:p>
    <w:p>
      <w:pPr>
        <w:spacing w:after="100" w:line="264"/>
        <w:jc w:val="both"/>
      </w:pPr>
      <w:r>
        <w:rPr>
          <w:rFonts w:ascii="Cambria" w:cs="Cambria" w:eastAsia="Cambria" w:hAnsi="Cambria"/>
          <w:b/>
          <w:bCs/>
          <w:sz w:val="22"/>
          <w:szCs w:val="22"/>
        </w:rPr>
        <w:t xml:space="preserve">(c) ELM prediction. </w:t>
      </w:r>
      <w:r>
        <w:rPr>
          <w:rFonts w:ascii="Cambria" w:cs="Cambria" w:eastAsia="Cambria" w:hAnsi="Cambria"/>
          <w:sz w:val="22"/>
          <w:szCs w:val="22"/>
        </w:rPr>
        <w:t xml:space="preserve">Edge Localised Modes (ELMs) — violent edge instabilities that damage tokamak walls — can be interpreted as crystal defect relaxation events at the H-mode pedestal surface. In CCDR terms, the pedestal is a strained crystal surface; when the strain exceeds the elastic limit, the surface cracks (ELM crash), releasing stored energy. The ELM energy should scale with the pedestal strain energy: E_ELM ~ (elastic modulus) × (strain)² × (surface area). This provides a parameter-free prediction for ELM energy given the pedestal pressure and geometry.</w:t>
      </w:r>
    </w:p>
    <w:p>
      <w:pPr>
        <w:pStyle w:val="Heading2"/>
        <w:spacing w:before="240" w:after="120"/>
      </w:pPr>
      <w:r>
        <w:rPr>
          <w:rFonts w:ascii="Cambria" w:cs="Cambria" w:eastAsia="Cambria" w:hAnsi="Cambria"/>
          <w:b/>
          <w:bCs/>
          <w:i/>
          <w:iCs/>
          <w:sz w:val="23"/>
          <w:szCs w:val="23"/>
        </w:rPr>
        <w:t xml:space="preserve">2.4 Quantitative Predictions</w:t>
      </w:r>
    </w:p>
    <w:p>
      <w:pPr>
        <w:spacing w:after="100" w:line="264"/>
        <w:jc w:val="both"/>
      </w:pPr>
      <w:r>
        <w:rPr>
          <w:rFonts w:ascii="Cambria" w:cs="Cambria" w:eastAsia="Cambria" w:hAnsi="Cambria"/>
          <w:b/>
          <w:bCs/>
          <w:sz w:val="22"/>
          <w:szCs w:val="22"/>
        </w:rPr>
        <w:t xml:space="preserve">FR1: </w:t>
      </w:r>
      <w:r>
        <w:rPr>
          <w:rFonts w:ascii="Cambria" w:cs="Cambria" w:eastAsia="Cambria" w:hAnsi="Cambria"/>
          <w:sz w:val="22"/>
          <w:szCs w:val="22"/>
        </w:rPr>
        <w:t xml:space="preserve">Minimum edge diffusivity χ_min = ħ/(4π m_i) ≈ 1.7 × 10⁻³ m²/s for D-T plasma. No engineering can go below this. Testable: achieve χ &lt; 10⁻² m²/s in any tokamak edge and compare with KSS floor.</w:t>
      </w:r>
    </w:p>
    <w:p>
      <w:pPr>
        <w:spacing w:after="100" w:line="264"/>
        <w:jc w:val="both"/>
      </w:pPr>
      <w:r>
        <w:rPr>
          <w:rFonts w:ascii="Cambria" w:cs="Cambria" w:eastAsia="Cambria" w:hAnsi="Cambria"/>
          <w:b/>
          <w:bCs/>
          <w:sz w:val="22"/>
          <w:szCs w:val="22"/>
        </w:rPr>
        <w:t xml:space="preserve">FR2: </w:t>
      </w:r>
      <w:r>
        <w:rPr>
          <w:rFonts w:ascii="Cambria" w:cs="Cambria" w:eastAsia="Cambria" w:hAnsi="Cambria"/>
          <w:sz w:val="22"/>
          <w:szCs w:val="22"/>
        </w:rPr>
        <w:t xml:space="preserve">H-mode pedestal pressure P_ped should satisfy a stability criterion analogous to the crystal elastic limit: P_ped &lt; B²/(2μ₀) × ν^{2/3} where ν ~ 10⁻³ is the RVM coefficient (identified here with the crystal’s elastic anharmonicity). This predicts P_ped ~ 5–20 kPa for ITER-scale devices.</w:t>
      </w:r>
    </w:p>
    <w:p>
      <w:pPr>
        <w:spacing w:after="100" w:line="264"/>
        <w:jc w:val="both"/>
      </w:pPr>
      <w:r>
        <w:rPr>
          <w:rFonts w:ascii="Cambria" w:cs="Cambria" w:eastAsia="Cambria" w:hAnsi="Cambria"/>
          <w:b/>
          <w:bCs/>
          <w:sz w:val="22"/>
          <w:szCs w:val="22"/>
        </w:rPr>
        <w:t xml:space="preserve">FR3: </w:t>
      </w:r>
      <w:r>
        <w:rPr>
          <w:rFonts w:ascii="Cambria" w:cs="Cambria" w:eastAsia="Cambria" w:hAnsi="Cambria"/>
          <w:sz w:val="22"/>
          <w:szCs w:val="22"/>
        </w:rPr>
        <w:t xml:space="preserve">ELM energy scales as E_ELM ~ P_ped × V_pedestal × (ΔP/P_ped)² where ΔP is the pressure perturbation. Testable against existing ELM databases (JET, DIII-D, ASDEX Upgrade).</w:t>
      </w:r>
    </w:p>
    <w:p>
      <w:pPr>
        <w:spacing w:after="100" w:line="264"/>
        <w:jc w:val="both"/>
      </w:pPr>
      <w:r>
        <w:rPr>
          <w:rFonts w:ascii="Cambria" w:cs="Cambria" w:eastAsia="Cambria" w:hAnsi="Cambria"/>
          <w:b/>
          <w:bCs/>
          <w:sz w:val="22"/>
          <w:szCs w:val="22"/>
        </w:rPr>
        <w:t xml:space="preserve">FR4: </w:t>
      </w:r>
      <w:r>
        <w:rPr>
          <w:rFonts w:ascii="Cambria" w:cs="Cambria" w:eastAsia="Cambria" w:hAnsi="Cambria"/>
          <w:sz w:val="22"/>
          <w:szCs w:val="22"/>
        </w:rPr>
        <w:t xml:space="preserve">The QGP viscosity oscillation predicted by CCDR (P9c) has a fusion analogue: the edge plasma η/s should show non-monotonic behaviour as a function of collisionality, with a minimum at the KSS bound. Testable via systematic edge viscosity measurements across collisionality scans in current tokamaks.</w:t>
      </w:r>
    </w:p>
    <w:p>
      <w:pPr>
        <w:pStyle w:val="Heading1"/>
        <w:spacing w:before="320" w:after="160"/>
      </w:pPr>
      <w:r>
        <w:rPr>
          <w:rFonts w:ascii="Cambria" w:cs="Cambria" w:eastAsia="Cambria" w:hAnsi="Cambria"/>
          <w:b/>
          <w:bCs/>
          <w:sz w:val="26"/>
          <w:szCs w:val="26"/>
        </w:rPr>
        <w:t xml:space="preserve">Part III: Advanced Materials</w:t>
      </w:r>
    </w:p>
    <w:p>
      <w:pPr>
        <w:pStyle w:val="Heading2"/>
        <w:spacing w:before="240" w:after="120"/>
      </w:pPr>
      <w:r>
        <w:rPr>
          <w:rFonts w:ascii="Cambria" w:cs="Cambria" w:eastAsia="Cambria" w:hAnsi="Cambria"/>
          <w:b/>
          <w:bCs/>
          <w:i/>
          <w:iCs/>
          <w:sz w:val="23"/>
          <w:szCs w:val="23"/>
        </w:rPr>
        <w:t xml:space="preserve">3.1 The Problem: Grain Boundary Transport</w:t>
      </w:r>
    </w:p>
    <w:p>
      <w:pPr>
        <w:spacing w:after="100" w:line="264"/>
        <w:jc w:val="both"/>
      </w:pPr>
      <w:r>
        <w:rPr>
          <w:rFonts w:ascii="Cambria" w:cs="Cambria" w:eastAsia="Cambria" w:hAnsi="Cambria"/>
          <w:sz w:val="22"/>
          <w:szCs w:val="22"/>
        </w:rPr>
        <w:t xml:space="preserve">In polycrystalline materials, grain boundaries dominate thermal and electrical transport when the grain size L_grain is comparable to or smaller than the phonon or electron mean free path. Standard models (Kapitza resistance, Callaway model) treat grain boundary scattering phenomenologically with fitted parameters. CCDR’s grain boundary phonon scattering framework — developed to explain MOND in cosmology — provides a first-principles model for this scattering.</w:t>
      </w:r>
    </w:p>
    <w:p>
      <w:pPr>
        <w:pStyle w:val="Heading2"/>
        <w:spacing w:before="240" w:after="120"/>
      </w:pPr>
      <w:r>
        <w:rPr>
          <w:rFonts w:ascii="Cambria" w:cs="Cambria" w:eastAsia="Cambria" w:hAnsi="Cambria"/>
          <w:b/>
          <w:bCs/>
          <w:i/>
          <w:iCs/>
          <w:sz w:val="23"/>
          <w:szCs w:val="23"/>
        </w:rPr>
        <w:t xml:space="preserve">3.2 The CCDR Grain Boundary Scattering Model Applied to Materials</w:t>
      </w:r>
    </w:p>
    <w:p>
      <w:pPr>
        <w:spacing w:after="100" w:line="264"/>
        <w:jc w:val="both"/>
      </w:pPr>
      <w:r>
        <w:rPr>
          <w:rFonts w:ascii="Cambria" w:cs="Cambria" w:eastAsia="Cambria" w:hAnsi="Cambria"/>
          <w:sz w:val="22"/>
          <w:szCs w:val="22"/>
        </w:rPr>
        <w:t xml:space="preserve">The CCDR modified propagator G(k) = 1/(k² + k · k_grain) was derived for gravitons scattering off cosmic web filaments. The identical mathematics applies to acoustic phonons scattering off grain boundaries in a polycrystalline solid, with the substitution:</w:t>
      </w:r>
    </w:p>
    <w:p>
      <w:pPr>
        <w:spacing w:after="100" w:line="264"/>
        <w:jc w:val="both"/>
      </w:pPr>
      <w:r>
        <w:rPr>
          <w:rFonts w:ascii="Cambria" w:cs="Cambria" w:eastAsia="Cambria" w:hAnsi="Cambria"/>
          <w:sz w:val="22"/>
          <w:szCs w:val="22"/>
        </w:rPr>
        <w:t xml:space="preserve">Graviton → acoustic phonon</w:t>
      </w:r>
    </w:p>
    <w:p>
      <w:pPr>
        <w:spacing w:after="100" w:line="264"/>
        <w:jc w:val="both"/>
      </w:pPr>
      <w:r>
        <w:rPr>
          <w:rFonts w:ascii="Cambria" w:cs="Cambria" w:eastAsia="Cambria" w:hAnsi="Cambria"/>
          <w:sz w:val="22"/>
          <w:szCs w:val="22"/>
        </w:rPr>
        <w:t xml:space="preserve">Cosmic web filament → grain boundary</w:t>
      </w:r>
    </w:p>
    <w:p>
      <w:pPr>
        <w:spacing w:after="100" w:line="264"/>
        <w:jc w:val="both"/>
      </w:pPr>
      <w:r>
        <w:rPr>
          <w:rFonts w:ascii="Cambria" w:cs="Cambria" w:eastAsia="Cambria" w:hAnsi="Cambria"/>
          <w:sz w:val="22"/>
          <w:szCs w:val="22"/>
        </w:rPr>
        <w:t xml:space="preserve">Speed of light c → speed of sound v_s</w:t>
      </w:r>
    </w:p>
    <w:p>
      <w:pPr>
        <w:spacing w:after="100" w:line="264"/>
        <w:jc w:val="both"/>
      </w:pPr>
      <w:r>
        <w:rPr>
          <w:rFonts w:ascii="Cambria" w:cs="Cambria" w:eastAsia="Cambria" w:hAnsi="Cambria"/>
          <w:sz w:val="22"/>
          <w:szCs w:val="22"/>
        </w:rPr>
        <w:t xml:space="preserve">Hubble radius c/H₀ → grain size L_grain</w:t>
      </w:r>
    </w:p>
    <w:p>
      <w:pPr>
        <w:spacing w:after="100" w:line="264"/>
        <w:jc w:val="both"/>
      </w:pPr>
      <w:r>
        <w:rPr>
          <w:rFonts w:ascii="Cambria" w:cs="Cambria" w:eastAsia="Cambria" w:hAnsi="Cambria"/>
          <w:sz w:val="22"/>
          <w:szCs w:val="22"/>
        </w:rPr>
        <w:t xml:space="preserve">a₀ = cH₀ → a₀^{mat} = v_s/τ_grain (characteristic phonon scattering rate)</w:t>
      </w:r>
    </w:p>
    <w:p>
      <w:pPr>
        <w:spacing w:after="100" w:line="264"/>
        <w:jc w:val="both"/>
      </w:pPr>
      <w:r>
        <w:rPr>
          <w:rFonts w:ascii="Cambria" w:cs="Cambria" w:eastAsia="Cambria" w:hAnsi="Cambria"/>
          <w:sz w:val="22"/>
          <w:szCs w:val="22"/>
        </w:rPr>
        <w:t xml:space="preserve">The resulting prediction: thermal conductivity κ of a polycrystalline material should transition from the single-crystal value κ₀ at high temperatures (short-wavelength phonons, λ &lt;&lt; L_grain) to a modified value at low temperatures (long-wavelength phonons, λ ~ L_grain):</w:t>
      </w:r>
    </w:p>
    <w:p>
      <w:pPr>
        <w:spacing w:before="140" w:after="140"/>
        <w:ind w:left="480"/>
      </w:pPr>
      <w:r>
        <w:rPr>
          <w:rFonts w:ascii="Cambria Math" w:cs="Cambria Math" w:eastAsia="Cambria Math" w:hAnsi="Cambria Math"/>
          <w:i/>
          <w:iCs/>
          <w:sz w:val="22"/>
          <w:szCs w:val="22"/>
        </w:rPr>
        <w:t xml:space="preserve">κ(T) = κ₀(T) × μ(λ(T)/L_grain)</w:t>
      </w:r>
      <w:r>
        <w:rPr>
          <w:rFonts w:ascii="Cambria" w:cs="Cambria" w:eastAsia="Cambria" w:hAnsi="Cambria"/>
          <w:sz w:val="22"/>
          <w:szCs w:val="22"/>
        </w:rPr>
        <w:t xml:space="preserve">    (4)</w:t>
      </w:r>
    </w:p>
    <w:p>
      <w:pPr>
        <w:spacing w:after="100" w:line="264"/>
        <w:jc w:val="both"/>
      </w:pPr>
      <w:r>
        <w:rPr>
          <w:rFonts w:ascii="Cambria" w:cs="Cambria" w:eastAsia="Cambria" w:hAnsi="Cambria"/>
          <w:sz w:val="22"/>
          <w:szCs w:val="22"/>
        </w:rPr>
        <w:t xml:space="preserve">where μ(x) = x/(1+x)^{1/2} is the CCDR interpolating function. At high T (x &gt;&gt; 1): μ → 1, bulk conductivity recovered. At low T (x &lt;&lt; 1): μ ~ x^{1/2}, giving κ ~ T^{1/2} × κ₀(T). This is a specific, parameter-free prediction (once L_grain is measured independently) that differs from the standard Casimir boundary scattering model (κ ~ L_grain at low T).</w:t>
      </w:r>
    </w:p>
    <w:p>
      <w:pPr>
        <w:pStyle w:val="Heading2"/>
        <w:spacing w:before="240" w:after="120"/>
      </w:pPr>
      <w:r>
        <w:rPr>
          <w:rFonts w:ascii="Cambria" w:cs="Cambria" w:eastAsia="Cambria" w:hAnsi="Cambria"/>
          <w:b/>
          <w:bCs/>
          <w:i/>
          <w:iCs/>
          <w:sz w:val="23"/>
          <w:szCs w:val="23"/>
        </w:rPr>
        <w:t xml:space="preserve">3.3 Hexagonal Grain Boundary Symmetry</w:t>
      </w:r>
    </w:p>
    <w:p>
      <w:pPr>
        <w:spacing w:after="100" w:line="264"/>
        <w:jc w:val="both"/>
      </w:pPr>
      <w:r>
        <w:rPr>
          <w:rFonts w:ascii="Cambria" w:cs="Cambria" w:eastAsia="Cambria" w:hAnsi="Cambria"/>
          <w:sz w:val="22"/>
          <w:szCs w:val="22"/>
        </w:rPr>
        <w:t xml:space="preserve">The CCDR derivation of the Koide formula uses hexagonal Brillouin zone symmetry. This predicts that hexagonal grain boundaries (the most common in polycrystalline metals) should have specific phonon transmission coefficients determined by the hexagonal lattice phonon Hamiltonian:</w:t>
      </w:r>
    </w:p>
    <w:p>
      <w:pPr>
        <w:spacing w:before="140" w:after="140"/>
        <w:ind w:left="480"/>
      </w:pPr>
      <w:r>
        <w:rPr>
          <w:rFonts w:ascii="Cambria Math" w:cs="Cambria Math" w:eastAsia="Cambria Math" w:hAnsi="Cambria Math"/>
          <w:i/>
          <w:iCs/>
          <w:sz w:val="22"/>
          <w:szCs w:val="22"/>
        </w:rPr>
        <w:t xml:space="preserve">T(θ) = cos²(θ/2) × [1 + ε · cos(6θ)]</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where θ is the grain misorientation angle and ε is the anharmonicity parameter. The cos(6θ) term is the hexagonal symmetry fingerprint — absent in standard Kapitza resistance models. This predicts that grain boundaries with θ = 30° (maximally misoriented in a hexagonal lattice) should have anomalously high phonon transmission — a counterintuitive result testable with modern phonon spectroscopy techniques.</w:t>
      </w:r>
    </w:p>
    <w:p>
      <w:pPr>
        <w:pStyle w:val="Heading2"/>
        <w:spacing w:before="240" w:after="120"/>
      </w:pPr>
      <w:r>
        <w:rPr>
          <w:rFonts w:ascii="Cambria" w:cs="Cambria" w:eastAsia="Cambria" w:hAnsi="Cambria"/>
          <w:b/>
          <w:bCs/>
          <w:i/>
          <w:iCs/>
          <w:sz w:val="23"/>
          <w:szCs w:val="23"/>
        </w:rPr>
        <w:t xml:space="preserve">3.4 Quantitative Predictions</w:t>
      </w:r>
    </w:p>
    <w:p>
      <w:pPr>
        <w:spacing w:after="100" w:line="264"/>
        <w:jc w:val="both"/>
      </w:pPr>
      <w:r>
        <w:rPr>
          <w:rFonts w:ascii="Cambria" w:cs="Cambria" w:eastAsia="Cambria" w:hAnsi="Cambria"/>
          <w:b/>
          <w:bCs/>
          <w:sz w:val="22"/>
          <w:szCs w:val="22"/>
        </w:rPr>
        <w:t xml:space="preserve">MAT1: </w:t>
      </w:r>
      <w:r>
        <w:rPr>
          <w:rFonts w:ascii="Cambria" w:cs="Cambria" w:eastAsia="Cambria" w:hAnsi="Cambria"/>
          <w:sz w:val="22"/>
          <w:szCs w:val="22"/>
        </w:rPr>
        <w:t xml:space="preserve">Thermal conductivity of polycrystalline materials follows κ(T) = κ₀ × μ(λ/L_grain) with CCDR interpolating function. Differs from Casimir model by 5–15% at intermediate T. Testable with high-purity polycrystalline metals (Cu, Al, Au) at 1–50 K.</w:t>
      </w:r>
    </w:p>
    <w:p>
      <w:pPr>
        <w:spacing w:after="100" w:line="264"/>
        <w:jc w:val="both"/>
      </w:pPr>
      <w:r>
        <w:rPr>
          <w:rFonts w:ascii="Cambria" w:cs="Cambria" w:eastAsia="Cambria" w:hAnsi="Cambria"/>
          <w:b/>
          <w:bCs/>
          <w:sz w:val="22"/>
          <w:szCs w:val="22"/>
        </w:rPr>
        <w:t xml:space="preserve">MAT2: </w:t>
      </w:r>
      <w:r>
        <w:rPr>
          <w:rFonts w:ascii="Cambria" w:cs="Cambria" w:eastAsia="Cambria" w:hAnsi="Cambria"/>
          <w:sz w:val="22"/>
          <w:szCs w:val="22"/>
        </w:rPr>
        <w:t xml:space="preserve">Grain boundary phonon transmission shows cos(6θ) angular dependence for hexagonal lattices. Testable with bicrystal experiments using controlled misorientation.</w:t>
      </w:r>
    </w:p>
    <w:p>
      <w:pPr>
        <w:spacing w:after="100" w:line="264"/>
        <w:jc w:val="both"/>
      </w:pPr>
      <w:r>
        <w:rPr>
          <w:rFonts w:ascii="Cambria" w:cs="Cambria" w:eastAsia="Cambria" w:hAnsi="Cambria"/>
          <w:b/>
          <w:bCs/>
          <w:sz w:val="22"/>
          <w:szCs w:val="22"/>
        </w:rPr>
        <w:t xml:space="preserve">MAT3: </w:t>
      </w:r>
      <w:r>
        <w:rPr>
          <w:rFonts w:ascii="Cambria" w:cs="Cambria" w:eastAsia="Cambria" w:hAnsi="Cambria"/>
          <w:sz w:val="22"/>
          <w:szCs w:val="22"/>
        </w:rPr>
        <w:t xml:space="preserve">In nanocrystalline materials (L_grain &lt; 100 nm), the CCDR prediction κ ~ T^{1/2} × κ₀ at low T deviates from the standard κ ~ L_grain prediction by up to a factor of 2. Testable with nanocrystalline thin films.</w:t>
      </w:r>
    </w:p>
    <w:p>
      <w:pPr>
        <w:spacing w:after="100" w:line="264"/>
        <w:jc w:val="both"/>
      </w:pPr>
      <w:r>
        <w:rPr>
          <w:rFonts w:ascii="Cambria" w:cs="Cambria" w:eastAsia="Cambria" w:hAnsi="Cambria"/>
          <w:b/>
          <w:bCs/>
          <w:sz w:val="22"/>
          <w:szCs w:val="22"/>
        </w:rPr>
        <w:t xml:space="preserve">MAT4: </w:t>
      </w:r>
      <w:r>
        <w:rPr>
          <w:rFonts w:ascii="Cambria" w:cs="Cambria" w:eastAsia="Cambria" w:hAnsi="Cambria"/>
          <w:sz w:val="22"/>
          <w:szCs w:val="22"/>
        </w:rPr>
        <w:t xml:space="preserve">Thermoelectric figure of merit ZT in nanostructured materials can be optimised by engineering grain boundaries with θ = 30° misorientation (maximum phonon scattering, minimum electron scattering for hexagonal systems). This predicts a ~20% improvement in ZT for Bi₂Te₃ nanocomposites with controlled grain boundary angles.</w:t>
      </w:r>
    </w:p>
    <w:p>
      <w:pPr>
        <w:pStyle w:val="Heading1"/>
        <w:spacing w:before="320" w:after="160"/>
      </w:pPr>
      <w:r>
        <w:rPr>
          <w:rFonts w:ascii="Cambria" w:cs="Cambria" w:eastAsia="Cambria" w:hAnsi="Cambria"/>
          <w:b/>
          <w:bCs/>
          <w:sz w:val="26"/>
          <w:szCs w:val="26"/>
        </w:rPr>
        <w:t xml:space="preserve">Part IV: Electronics and Information Technology</w:t>
      </w:r>
    </w:p>
    <w:p>
      <w:pPr>
        <w:pStyle w:val="Heading2"/>
        <w:spacing w:before="240" w:after="120"/>
      </w:pPr>
      <w:r>
        <w:rPr>
          <w:rFonts w:ascii="Cambria" w:cs="Cambria" w:eastAsia="Cambria" w:hAnsi="Cambria"/>
          <w:b/>
          <w:bCs/>
          <w:i/>
          <w:iCs/>
          <w:sz w:val="23"/>
          <w:szCs w:val="23"/>
        </w:rPr>
        <w:t xml:space="preserve">4.1 The Problem: Fundamental Scaling Limits</w:t>
      </w:r>
    </w:p>
    <w:p>
      <w:pPr>
        <w:spacing w:after="100" w:line="264"/>
        <w:jc w:val="both"/>
      </w:pPr>
      <w:r>
        <w:rPr>
          <w:rFonts w:ascii="Cambria" w:cs="Cambria" w:eastAsia="Cambria" w:hAnsi="Cambria"/>
          <w:sz w:val="22"/>
          <w:szCs w:val="22"/>
        </w:rPr>
        <w:t xml:space="preserve">Moore’s law scaling is approaching physical limits. Below ~3 nm gate length, quantum tunnelling, thermal noise, and fundamental information-theoretic limits become dominant. The Landauer limit (k_BT ln 2 per bit erasure) sets the minimum energy per computation. The Bekenstein bound (S ≤ 2πER/ħc) sets the maximum information content of a bounded region.</w:t>
      </w:r>
    </w:p>
    <w:p>
      <w:pPr>
        <w:spacing w:after="100" w:line="264"/>
        <w:jc w:val="both"/>
      </w:pPr>
      <w:r>
        <w:rPr>
          <w:rFonts w:ascii="Cambria" w:cs="Cambria" w:eastAsia="Cambria" w:hAnsi="Cambria"/>
          <w:sz w:val="22"/>
          <w:szCs w:val="22"/>
        </w:rPr>
        <w:t xml:space="preserve">CDT–CCDR–TN provides a tighter bound than Bekenstein and specific predictions for the scaling of information density in nanoscale devices.</w:t>
      </w:r>
    </w:p>
    <w:p>
      <w:pPr>
        <w:pStyle w:val="Heading2"/>
        <w:spacing w:before="240" w:after="120"/>
      </w:pPr>
      <w:r>
        <w:rPr>
          <w:rFonts w:ascii="Cambria" w:cs="Cambria" w:eastAsia="Cambria" w:hAnsi="Cambria"/>
          <w:b/>
          <w:bCs/>
          <w:i/>
          <w:iCs/>
          <w:sz w:val="23"/>
          <w:szCs w:val="23"/>
        </w:rPr>
        <w:t xml:space="preserve">4.2 The CDT Information Density Bound</w:t>
      </w:r>
    </w:p>
    <w:p>
      <w:pPr>
        <w:spacing w:after="100" w:line="264"/>
        <w:jc w:val="both"/>
      </w:pPr>
      <w:r>
        <w:rPr>
          <w:rFonts w:ascii="Cambria" w:cs="Cambria" w:eastAsia="Cambria" w:hAnsi="Cambria"/>
          <w:sz w:val="22"/>
          <w:szCs w:val="22"/>
        </w:rPr>
        <w:t xml:space="preserve">In CDT–CCDR–TN, each Planck-area face of the simplicial lattice carries exactly ln D* = 1/4 nats of information. The maximum information density of any region is:</w:t>
      </w:r>
    </w:p>
    <w:p>
      <w:pPr>
        <w:spacing w:before="140" w:after="140"/>
        <w:ind w:left="480"/>
      </w:pPr>
      <w:r>
        <w:rPr>
          <w:rFonts w:ascii="Cambria Math" w:cs="Cambria Math" w:eastAsia="Cambria Math" w:hAnsi="Cambria Math"/>
          <w:i/>
          <w:iCs/>
          <w:sz w:val="22"/>
          <w:szCs w:val="22"/>
        </w:rPr>
        <w:t xml:space="preserve">I_max = A/(4l²_pl) nats = A/(4 × 1.616 × 10⁻³⁵ m)² nats</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For a surface of area A, this is the Bekenstein–Hawking bound. But CDT–CCDR–TN adds a crucial practical constraint: this bound can only be approached if the information is encoded holographically — i.e., on the boundary, not in the bulk. Any bulk encoding (which is what all current electronics use) is less efficient by a factor of R/l_pl, where R is the device size.</w:t>
      </w:r>
    </w:p>
    <w:p>
      <w:pPr>
        <w:spacing w:after="100" w:line="264"/>
        <w:jc w:val="both"/>
      </w:pPr>
      <w:r>
        <w:rPr>
          <w:rFonts w:ascii="Cambria" w:cs="Cambria" w:eastAsia="Cambria" w:hAnsi="Cambria"/>
          <w:sz w:val="22"/>
          <w:szCs w:val="22"/>
        </w:rPr>
        <w:t xml:space="preserve">The practical CDT bound for bulk-encoded information in a device of volume V = L³ is:</w:t>
      </w:r>
    </w:p>
    <w:p>
      <w:pPr>
        <w:spacing w:before="140" w:after="140"/>
        <w:ind w:left="480"/>
      </w:pPr>
      <w:r>
        <w:rPr>
          <w:rFonts w:ascii="Cambria Math" w:cs="Cambria Math" w:eastAsia="Cambria Math" w:hAnsi="Cambria Math"/>
          <w:i/>
          <w:iCs/>
          <w:sz w:val="22"/>
          <w:szCs w:val="22"/>
        </w:rPr>
        <w:t xml:space="preserve">I_practical = V / (4l³_pl) × (l_pl/L) = L² / (4l²_pl)</w:t>
      </w:r>
      <w:r>
        <w:rPr>
          <w:rFonts w:ascii="Cambria" w:cs="Cambria" w:eastAsia="Cambria" w:hAnsi="Cambria"/>
          <w:sz w:val="22"/>
          <w:szCs w:val="22"/>
        </w:rPr>
        <w:t xml:space="preserve">    (7)</w:t>
      </w:r>
    </w:p>
    <w:p>
      <w:pPr>
        <w:spacing w:after="100" w:line="264"/>
        <w:jc w:val="both"/>
      </w:pPr>
      <w:r>
        <w:rPr>
          <w:rFonts w:ascii="Cambria" w:cs="Cambria" w:eastAsia="Cambria" w:hAnsi="Cambria"/>
          <w:sz w:val="22"/>
          <w:szCs w:val="22"/>
        </w:rPr>
        <w:t xml:space="preserve">This is the area bound, not the volume bound — the holographic principle in action. For a chip of area 1 cm²:</w:t>
      </w:r>
    </w:p>
    <w:p>
      <w:pPr>
        <w:spacing w:before="140" w:after="140"/>
        <w:ind w:left="480"/>
      </w:pPr>
      <w:r>
        <w:rPr>
          <w:rFonts w:ascii="Cambria Math" w:cs="Cambria Math" w:eastAsia="Cambria Math" w:hAnsi="Cambria Math"/>
          <w:i/>
          <w:iCs/>
          <w:sz w:val="22"/>
          <w:szCs w:val="22"/>
        </w:rPr>
        <w:t xml:space="preserve">I_max ~ (10⁻²)² / (4 × (1.6 × 10⁻³⁵)²) ~ 10⁶⁴ bits</w:t>
      </w:r>
      <w:r>
        <w:rPr>
          <w:rFonts w:ascii="Cambria" w:cs="Cambria" w:eastAsia="Cambria" w:hAnsi="Cambria"/>
          <w:sz w:val="22"/>
          <w:szCs w:val="22"/>
        </w:rPr>
        <w:t xml:space="preserve">    (8)</w:t>
      </w:r>
    </w:p>
    <w:p>
      <w:pPr>
        <w:spacing w:after="100" w:line="264"/>
        <w:jc w:val="both"/>
      </w:pPr>
      <w:r>
        <w:rPr>
          <w:rFonts w:ascii="Cambria" w:cs="Cambria" w:eastAsia="Cambria" w:hAnsi="Cambria"/>
          <w:sz w:val="22"/>
          <w:szCs w:val="22"/>
        </w:rPr>
        <w:t xml:space="preserve">This is far beyond any conceivable technology (current chips store ~10¹² bits), so the Planck-scale bound is not a practical limitation. However, the CDT structure implies that information density scaling should transition from volume-law to area-law at a device-specific crossover size:</w:t>
      </w:r>
    </w:p>
    <w:p>
      <w:pPr>
        <w:spacing w:before="140" w:after="140"/>
        <w:ind w:left="480"/>
      </w:pPr>
      <w:r>
        <w:rPr>
          <w:rFonts w:ascii="Cambria Math" w:cs="Cambria Math" w:eastAsia="Cambria Math" w:hAnsi="Cambria Math"/>
          <w:i/>
          <w:iCs/>
          <w:sz w:val="22"/>
          <w:szCs w:val="22"/>
        </w:rPr>
        <w:t xml:space="preserve">L_crossover ~ l_mfp × (k_BT/E_gap)</w:t>
      </w:r>
      <w:r>
        <w:rPr>
          <w:rFonts w:ascii="Cambria" w:cs="Cambria" w:eastAsia="Cambria" w:hAnsi="Cambria"/>
          <w:sz w:val="22"/>
          <w:szCs w:val="22"/>
        </w:rPr>
        <w:t xml:space="preserve">    (9)</w:t>
      </w:r>
    </w:p>
    <w:p>
      <w:pPr>
        <w:spacing w:after="100" w:line="264"/>
        <w:jc w:val="both"/>
      </w:pPr>
      <w:r>
        <w:rPr>
          <w:rFonts w:ascii="Cambria" w:cs="Cambria" w:eastAsia="Cambria" w:hAnsi="Cambria"/>
          <w:sz w:val="22"/>
          <w:szCs w:val="22"/>
        </w:rPr>
        <w:t xml:space="preserve">where l_mfp is the information carrier mean free path and E_gap is the relevant energy gap. Below L_crossover, information stored in the bulk of the device begins to saturate the holographic bound for that region, and further miniaturisation yields diminishing returns.</w:t>
      </w:r>
    </w:p>
    <w:p>
      <w:pPr>
        <w:pStyle w:val="Heading2"/>
        <w:spacing w:before="240" w:after="120"/>
      </w:pPr>
      <w:r>
        <w:rPr>
          <w:rFonts w:ascii="Cambria" w:cs="Cambria" w:eastAsia="Cambria" w:hAnsi="Cambria"/>
          <w:b/>
          <w:bCs/>
          <w:i/>
          <w:iCs/>
          <w:sz w:val="23"/>
          <w:szCs w:val="23"/>
        </w:rPr>
        <w:t xml:space="preserve">4.3 Implications for Device Design</w:t>
      </w:r>
    </w:p>
    <w:p>
      <w:pPr>
        <w:spacing w:after="100" w:line="264"/>
        <w:jc w:val="both"/>
      </w:pPr>
      <w:r>
        <w:rPr>
          <w:rFonts w:ascii="Cambria" w:cs="Cambria" w:eastAsia="Cambria" w:hAnsi="Cambria"/>
          <w:b/>
          <w:bCs/>
          <w:sz w:val="22"/>
          <w:szCs w:val="22"/>
        </w:rPr>
        <w:t xml:space="preserve">(a) 3D chip architectures. </w:t>
      </w:r>
      <w:r>
        <w:rPr>
          <w:rFonts w:ascii="Cambria" w:cs="Cambria" w:eastAsia="Cambria" w:hAnsi="Cambria"/>
          <w:sz w:val="22"/>
          <w:szCs w:val="22"/>
        </w:rPr>
        <w:t xml:space="preserve">The holographic principle says bulk information is less efficient than boundary information. For 3D chip stacking (which the industry is pursuing), this means: the information throughput of a 3D stack scales with the total surface area of the inter-layer interfaces, not with the volume of the stack. Doubling the number of layers doubles the inter-layer area and thus the effective information capacity — but only if the inter-layer communication bandwidth scales with the area. Current 3D NAND and HBM designs are consistent with this: performance scales with the number of layers (area) rather than with the total transistor count (volume).</w:t>
      </w:r>
    </w:p>
    <w:p>
      <w:pPr>
        <w:spacing w:after="100" w:line="264"/>
        <w:jc w:val="both"/>
      </w:pPr>
      <w:r>
        <w:rPr>
          <w:rFonts w:ascii="Cambria" w:cs="Cambria" w:eastAsia="Cambria" w:hAnsi="Cambria"/>
          <w:b/>
          <w:bCs/>
          <w:sz w:val="22"/>
          <w:szCs w:val="22"/>
        </w:rPr>
        <w:t xml:space="preserve">(b) Topological memory from CDT codes. </w:t>
      </w:r>
      <w:r>
        <w:rPr>
          <w:rFonts w:ascii="Cambria" w:cs="Cambria" w:eastAsia="Cambria" w:hAnsi="Cambria"/>
          <w:sz w:val="22"/>
          <w:szCs w:val="22"/>
        </w:rPr>
        <w:t xml:space="preserve">The CDT holographic code (Part I) can be adapted for classical error-correcting memory. A CDT-topology memory array stores data in the bulk of a tensor network implemented in hardware, with parity checks on the boundary. The code distance scales as N^{1/3}, providing protection against burst errors (contiguous failures of adjacent memory cells) that exceeds standard 2D ECC architectures.</w:t>
      </w:r>
    </w:p>
    <w:p>
      <w:pPr>
        <w:spacing w:after="100" w:line="264"/>
        <w:jc w:val="both"/>
      </w:pPr>
      <w:r>
        <w:rPr>
          <w:rFonts w:ascii="Cambria" w:cs="Cambria" w:eastAsia="Cambria" w:hAnsi="Cambria"/>
          <w:b/>
          <w:bCs/>
          <w:sz w:val="22"/>
          <w:szCs w:val="22"/>
        </w:rPr>
        <w:t xml:space="preserve">(c) Landauer limit modification. </w:t>
      </w:r>
      <w:r>
        <w:rPr>
          <w:rFonts w:ascii="Cambria" w:cs="Cambria" w:eastAsia="Cambria" w:hAnsi="Cambria"/>
          <w:sz w:val="22"/>
          <w:szCs w:val="22"/>
        </w:rPr>
        <w:t xml:space="preserve">The standard Landauer limit k_BT ln 2 per bit erasure assumes information is encoded in equilibrium thermodynamic states. In CDT–CCDR, the time crystal structure of the vacuum means the ground state is not a static equilibrium but a persistent oscillation. If a computation can be coupled to this oscillation (conceptually: using the vacuum’s zero-point energy as a resource), the effective energy cost per operation could in principle be reduced below the Landauer limit. This is highly speculative for current technology but identifies a specific physical mechanism by which the Landauer limit could be circumvented.</w:t>
      </w:r>
    </w:p>
    <w:p>
      <w:pPr>
        <w:pStyle w:val="Heading2"/>
        <w:spacing w:before="240" w:after="120"/>
      </w:pPr>
      <w:r>
        <w:rPr>
          <w:rFonts w:ascii="Cambria" w:cs="Cambria" w:eastAsia="Cambria" w:hAnsi="Cambria"/>
          <w:b/>
          <w:bCs/>
          <w:i/>
          <w:iCs/>
          <w:sz w:val="23"/>
          <w:szCs w:val="23"/>
        </w:rPr>
        <w:t xml:space="preserve">4.4 Quantitative Predictions</w:t>
      </w:r>
    </w:p>
    <w:p>
      <w:pPr>
        <w:spacing w:after="100" w:line="264"/>
        <w:jc w:val="both"/>
      </w:pPr>
      <w:r>
        <w:rPr>
          <w:rFonts w:ascii="Cambria" w:cs="Cambria" w:eastAsia="Cambria" w:hAnsi="Cambria"/>
          <w:b/>
          <w:bCs/>
          <w:sz w:val="22"/>
          <w:szCs w:val="22"/>
        </w:rPr>
        <w:t xml:space="preserve">EL1: </w:t>
      </w:r>
      <w:r>
        <w:rPr>
          <w:rFonts w:ascii="Cambria" w:cs="Cambria" w:eastAsia="Cambria" w:hAnsi="Cambria"/>
          <w:sz w:val="22"/>
          <w:szCs w:val="22"/>
        </w:rPr>
        <w:t xml:space="preserve">3D chip information throughput scales with inter-layer area, not volume. Testable: compare performance scaling of 3D NAND with 64 vs 128 vs 256 layers.</w:t>
      </w:r>
    </w:p>
    <w:p>
      <w:pPr>
        <w:spacing w:after="100" w:line="264"/>
        <w:jc w:val="both"/>
      </w:pPr>
      <w:r>
        <w:rPr>
          <w:rFonts w:ascii="Cambria" w:cs="Cambria" w:eastAsia="Cambria" w:hAnsi="Cambria"/>
          <w:b/>
          <w:bCs/>
          <w:sz w:val="22"/>
          <w:szCs w:val="22"/>
        </w:rPr>
        <w:t xml:space="preserve">EL2: </w:t>
      </w:r>
      <w:r>
        <w:rPr>
          <w:rFonts w:ascii="Cambria" w:cs="Cambria" w:eastAsia="Cambria" w:hAnsi="Cambria"/>
          <w:sz w:val="22"/>
          <w:szCs w:val="22"/>
        </w:rPr>
        <w:t xml:space="preserve">CDT-topology ECC achieves burst error protection scaling as N^{1/3} vs N^{1/2} for standard 2D codes. Testable: implement and simulate CDT-graph LDPC codes.</w:t>
      </w:r>
    </w:p>
    <w:p>
      <w:pPr>
        <w:spacing w:after="100" w:line="264"/>
        <w:jc w:val="both"/>
      </w:pPr>
      <w:r>
        <w:rPr>
          <w:rFonts w:ascii="Cambria" w:cs="Cambria" w:eastAsia="Cambria" w:hAnsi="Cambria"/>
          <w:b/>
          <w:bCs/>
          <w:sz w:val="22"/>
          <w:szCs w:val="22"/>
        </w:rPr>
        <w:t xml:space="preserve">EL3: </w:t>
      </w:r>
      <w:r>
        <w:rPr>
          <w:rFonts w:ascii="Cambria" w:cs="Cambria" w:eastAsia="Cambria" w:hAnsi="Cambria"/>
          <w:sz w:val="22"/>
          <w:szCs w:val="22"/>
        </w:rPr>
        <w:t xml:space="preserve">The crossover from volume-scaling to area-scaling of information density occurs at L_crossover ~ 10–100 nm for silicon at room temperature. Below this size, further miniaturisation has diminishing returns for information density. Testable: measure effective information density vs feature size in sub-10nm devices.</w:t>
      </w:r>
    </w:p>
    <w:p>
      <w:pPr>
        <w:spacing w:after="100" w:line="264"/>
        <w:jc w:val="both"/>
      </w:pPr>
      <w:r>
        <w:rPr>
          <w:rFonts w:ascii="Cambria" w:cs="Cambria" w:eastAsia="Cambria" w:hAnsi="Cambria"/>
          <w:b/>
          <w:bCs/>
          <w:sz w:val="22"/>
          <w:szCs w:val="22"/>
        </w:rPr>
        <w:t xml:space="preserve">EL4: </w:t>
      </w:r>
      <w:r>
        <w:rPr>
          <w:rFonts w:ascii="Cambria" w:cs="Cambria" w:eastAsia="Cambria" w:hAnsi="Cambria"/>
          <w:sz w:val="22"/>
          <w:szCs w:val="22"/>
        </w:rPr>
        <w:t xml:space="preserve">CDT holographic code outperforms surface code for burst errors at &gt; 10⁵ physical qubits. Testable: QEC simulation comparing CDT code vs surface code under spatially correlated noise models.</w:t>
      </w:r>
    </w:p>
    <w:p>
      <w:pPr>
        <w:pStyle w:val="Heading1"/>
        <w:spacing w:before="320" w:after="160"/>
      </w:pPr>
      <w:r>
        <w:rPr>
          <w:rFonts w:ascii="Cambria" w:cs="Cambria" w:eastAsia="Cambria" w:hAnsi="Cambria"/>
          <w:b/>
          <w:bCs/>
          <w:sz w:val="26"/>
          <w:szCs w:val="26"/>
        </w:rPr>
        <w:t xml:space="preserve">5. Feasibility Assessment</w:t>
      </w:r>
    </w:p>
    <w:p>
      <w:pPr>
        <w:spacing w:after="100" w:line="264"/>
        <w:jc w:val="both"/>
      </w:pPr>
      <w:r>
        <w:rPr>
          <w:rFonts w:ascii="Cambria" w:cs="Cambria" w:eastAsia="Cambria" w:hAnsi="Cambria"/>
          <w:b/>
          <w:bCs/>
          <w:sz w:val="22"/>
          <w:szCs w:val="22"/>
        </w:rPr>
        <w:t xml:space="preserve">Near-term (1–3 years): </w:t>
      </w:r>
      <w:r>
        <w:rPr>
          <w:rFonts w:ascii="Cambria" w:cs="Cambria" w:eastAsia="Cambria" w:hAnsi="Cambria"/>
          <w:sz w:val="22"/>
          <w:szCs w:val="22"/>
        </w:rPr>
        <w:t xml:space="preserve">QC predictions QC1–QC4 can be tested with classical QEC simulation using existing CDT and QEC software. Materials predictions MAT1–MAT3 can be tested with existing cryogenic thermal conductivity measurement setups. Fusion prediction FR4 can be tested with existing tokamak edge diagnostics. Electronics predictions EL1–EL2 can be tested with existing chip architectures and ECC simulators.</w:t>
      </w:r>
    </w:p>
    <w:p>
      <w:pPr>
        <w:spacing w:after="100" w:line="264"/>
        <w:jc w:val="both"/>
      </w:pPr>
      <w:r>
        <w:rPr>
          <w:rFonts w:ascii="Cambria" w:cs="Cambria" w:eastAsia="Cambria" w:hAnsi="Cambria"/>
          <w:b/>
          <w:bCs/>
          <w:sz w:val="22"/>
          <w:szCs w:val="22"/>
        </w:rPr>
        <w:t xml:space="preserve">Medium-term (3–10 years): </w:t>
      </w:r>
      <w:r>
        <w:rPr>
          <w:rFonts w:ascii="Cambria" w:cs="Cambria" w:eastAsia="Cambria" w:hAnsi="Cambria"/>
          <w:sz w:val="22"/>
          <w:szCs w:val="22"/>
        </w:rPr>
        <w:t xml:space="preserve">The CDT holographic code could be implemented on a quantum processor with ~1000 qubits (available in the ~2028–2030 timeframe). The materials predictions for nanocrystalline thermoelectrics (MAT4) require targeted synthesis with controlled grain boundary angles — feasible but requiring dedicated fabrication. Fusion predictions FR1–FR3 require edge transport measurements on ITER-class devices (available from ~2030).</w:t>
      </w:r>
    </w:p>
    <w:p>
      <w:pPr>
        <w:spacing w:after="100" w:line="264"/>
        <w:jc w:val="both"/>
      </w:pPr>
      <w:r>
        <w:rPr>
          <w:rFonts w:ascii="Cambria" w:cs="Cambria" w:eastAsia="Cambria" w:hAnsi="Cambria"/>
          <w:b/>
          <w:bCs/>
          <w:sz w:val="22"/>
          <w:szCs w:val="22"/>
        </w:rPr>
        <w:t xml:space="preserve">Long-term (&gt;10 years): </w:t>
      </w:r>
      <w:r>
        <w:rPr>
          <w:rFonts w:ascii="Cambria" w:cs="Cambria" w:eastAsia="Cambria" w:hAnsi="Cambria"/>
          <w:sz w:val="22"/>
          <w:szCs w:val="22"/>
        </w:rPr>
        <w:t xml:space="preserve">The Landauer limit modification (EL3) requires coupling computational operations to vacuum fluctuations, which is far beyond current technology. The full KSS-limited fusion design (optimising edge transport to within a factor of 10 of the quantum minimum) requires next-generation steady-state fusion devices.</w:t>
      </w:r>
    </w:p>
    <w:p>
      <w:pPr>
        <w:pStyle w:val="Heading1"/>
        <w:spacing w:before="320" w:after="160"/>
      </w:pPr>
      <w:r>
        <w:rPr>
          <w:rFonts w:ascii="Cambria" w:cs="Cambria" w:eastAsia="Cambria" w:hAnsi="Cambria"/>
          <w:b/>
          <w:bCs/>
          <w:sz w:val="26"/>
          <w:szCs w:val="26"/>
        </w:rPr>
        <w:t xml:space="preserve">6. Scope and Caveats</w:t>
      </w:r>
    </w:p>
    <w:p>
      <w:pPr>
        <w:spacing w:after="100" w:line="264"/>
        <w:jc w:val="both"/>
      </w:pPr>
      <w:r>
        <w:rPr>
          <w:rFonts w:ascii="Cambria" w:cs="Cambria" w:eastAsia="Cambria" w:hAnsi="Cambria"/>
          <w:sz w:val="22"/>
          <w:szCs w:val="22"/>
        </w:rPr>
        <w:t xml:space="preserve">These applications are extrapolations of the CDT–CCDR–TN framework to engineering domains. They are not proven technologies. Each involves a chain of reasoning from fundamental physics (CDT simplicial geometry, holographic entanglement, crystal phonon dynamics) to engineering predictions (code distances, viscosities, thermal conductivities). Each link in the chain is plausible but unverified.</w:t>
      </w:r>
    </w:p>
    <w:p>
      <w:pPr>
        <w:spacing w:after="100" w:line="264"/>
        <w:jc w:val="both"/>
      </w:pPr>
      <w:r>
        <w:rPr>
          <w:rFonts w:ascii="Cambria" w:cs="Cambria" w:eastAsia="Cambria" w:hAnsi="Cambria"/>
          <w:sz w:val="22"/>
          <w:szCs w:val="22"/>
        </w:rPr>
        <w:t xml:space="preserve">The strongest applications are those where the same mathematics appears in both cosmology and the engineering domain: grain boundary phonon scattering (MOND → thermal conductivity) and the KSS viscosity bound (QGP → fusion plasma edge). These involve no new physics — only the recognition that the same equations govern both domains.</w:t>
      </w:r>
    </w:p>
    <w:p>
      <w:pPr>
        <w:spacing w:after="100" w:line="264"/>
        <w:jc w:val="both"/>
      </w:pPr>
      <w:r>
        <w:rPr>
          <w:rFonts w:ascii="Cambria" w:cs="Cambria" w:eastAsia="Cambria" w:hAnsi="Cambria"/>
          <w:sz w:val="22"/>
          <w:szCs w:val="22"/>
        </w:rPr>
        <w:t xml:space="preserve">The most speculative application is the Landauer limit modification, which requires physical mechanisms not yet demonstrated. It is included for completeness and to illustrate the long-term potential of the framework.</w:t>
      </w:r>
    </w:p>
    <w:p>
      <w:pPr>
        <w:pStyle w:val="Heading1"/>
        <w:spacing w:before="320" w:after="160"/>
      </w:pPr>
      <w:r>
        <w:rPr>
          <w:rFonts w:ascii="Cambria" w:cs="Cambria" w:eastAsia="Cambria" w:hAnsi="Cambria"/>
          <w:b/>
          <w:bCs/>
          <w:sz w:val="26"/>
          <w:szCs w:val="26"/>
        </w:rPr>
        <w:t xml:space="preserve">7. Conclusion</w:t>
      </w:r>
    </w:p>
    <w:p>
      <w:pPr>
        <w:spacing w:after="100" w:line="264"/>
        <w:jc w:val="both"/>
      </w:pPr>
      <w:r>
        <w:rPr>
          <w:rFonts w:ascii="Cambria" w:cs="Cambria" w:eastAsia="Cambria" w:hAnsi="Cambria"/>
          <w:sz w:val="22"/>
          <w:szCs w:val="22"/>
        </w:rPr>
        <w:t xml:space="preserve">CDT–CCDR–TN generates sixteen quantitative predictions across four engineering domains: quantum computing (QC1–QC4), fusion reactors (FR1–FR4), materials science (MAT1–MAT4), and electronics (EL1–EL4). The most immediately testable are the QEC code comparison (QC1–QC4, testable now via simulation), the grain boundary thermal conductivity prediction (MAT1, testable with existing cryogenic equipment), and the 3D chip scaling law (EL1, testable against existing data). The most impactful, if confirmed, is the fusion edge transport prediction (FR1–FR3), which could provide the first parameter-free model for tokamak edge physics.</w:t>
      </w:r>
    </w:p>
    <w:p>
      <w:pPr>
        <w:spacing w:after="100" w:line="264"/>
        <w:jc w:val="both"/>
      </w:pPr>
      <w:r>
        <w:rPr>
          <w:rFonts w:ascii="Cambria" w:cs="Cambria" w:eastAsia="Cambria" w:hAnsi="Cambria"/>
          <w:sz w:val="22"/>
          <w:szCs w:val="22"/>
        </w:rPr>
        <w:t xml:space="preserve">The underlying principle is the same across all four domains: information, geometry, and transport are connected through the crystallographic structure of spacetime. The practical applications follow from running the cosmological crystal physics backward — applying the insights gained from understanding the universe as a crystal to the design of crystals, plasmas, codes, and circuits.</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Almheiri, Dong &amp; Harlow (2015). JHEP 04, 163.</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Kovtun, Son &amp; Starinets (2005). Phys. Rev. Lett. 94, 111601.</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Ambjørn, Jurkiewicz &amp; Loll (2005). Phys. Rev. Lett. 95, 171301.</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Ryu &amp; Takayanagi (2006). Phys. Rev. Lett. 96, 181602.</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Landauer, R. (1961). IBM J. Res. Dev. 5, 183.</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Bekenstein, J.D. (1981). Phys. Rev. D 23, 287.</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Hayden et al. (2016). JHEP 11, 009.</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Fowler et al. (2012). Surface codes: towards practical large-scale quantum computation. Phys. Rev. A 86, 032324.</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Wagner, F. (2007). A quarter-century of H-mode studies. Plasma Phys. Control. Fusion 49, B1.</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Cahill, D.G. et al. (2014). Nanoscale thermal transport. Appl. Phys. Rev. 1, 011305.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2026-03-26T07:31:10.725Z</dcterms:created>
  <dcterms:modified xsi:type="dcterms:W3CDTF">2026-03-26T07:31:10.726Z</dcterms:modified>
</cp:coreProperties>
</file>

<file path=docProps/custom.xml><?xml version="1.0" encoding="utf-8"?>
<Properties xmlns="http://schemas.openxmlformats.org/officeDocument/2006/custom-properties" xmlns:vt="http://schemas.openxmlformats.org/officeDocument/2006/docPropsVTypes"/>
</file>