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Кристалографічна</w:t>
      </w:r>
      <w:r>
        <w:t xml:space="preserve"> </w:t>
      </w:r>
      <w:r>
        <w:t xml:space="preserve">космологія</w:t>
      </w:r>
      <w:r>
        <w:t xml:space="preserve"> </w:t>
      </w:r>
      <w:r>
        <w:t xml:space="preserve">з</w:t>
      </w:r>
      <w:r>
        <w:t xml:space="preserve"> </w:t>
      </w:r>
      <w:r>
        <w:t xml:space="preserve">вимірнісної</w:t>
      </w:r>
      <w:r>
        <w:t xml:space="preserve"> </w:t>
      </w:r>
      <w:r>
        <w:t xml:space="preserve">редукції</w:t>
      </w:r>
      <w:r>
        <w:t xml:space="preserve"> </w:t>
      </w:r>
      <w:r>
        <w:t xml:space="preserve">(CCDR</w:t>
      </w:r>
      <w:r>
        <w:t xml:space="preserve"> </w:t>
      </w:r>
      <w:r>
        <w:t xml:space="preserve">v7.1)</w:t>
      </w:r>
    </w:p>
    <w:p>
      <w:pPr>
        <w:pStyle w:val="Subtitle"/>
      </w:pPr>
      <w:r>
        <w:t xml:space="preserve">Локальний,</w:t>
      </w:r>
      <w:r>
        <w:t xml:space="preserve"> </w:t>
      </w:r>
      <w:r>
        <w:t xml:space="preserve">асинхронний,</w:t>
      </w:r>
      <w:r>
        <w:t xml:space="preserve"> </w:t>
      </w:r>
      <w:r>
        <w:t xml:space="preserve">триваючий</w:t>
      </w:r>
      <w:r>
        <w:t xml:space="preserve"> </w:t>
      </w:r>
      <w:r>
        <w:t xml:space="preserve">каскад</w:t>
      </w:r>
      <w:r>
        <w:t xml:space="preserve"> </w:t>
      </w:r>
      <w:r>
        <w:t xml:space="preserve">—</w:t>
      </w:r>
      <w:r>
        <w:t xml:space="preserve"> </w:t>
      </w:r>
      <w:r>
        <w:t xml:space="preserve">з</w:t>
      </w:r>
      <w:r>
        <w:t xml:space="preserve"> </w:t>
      </w:r>
      <w:r>
        <w:t xml:space="preserve">темною</w:t>
      </w:r>
      <w:r>
        <w:t xml:space="preserve"> </w:t>
      </w:r>
      <w:r>
        <w:t xml:space="preserve">матерією</w:t>
      </w:r>
      <w:r>
        <w:t xml:space="preserve"> </w:t>
      </w:r>
      <w:r>
        <w:t xml:space="preserve">як</w:t>
      </w:r>
      <w:r>
        <w:t xml:space="preserve"> </w:t>
      </w:r>
      <w:r>
        <w:t xml:space="preserve">живим</w:t>
      </w:r>
      <w:r>
        <w:t xml:space="preserve"> </w:t>
      </w:r>
      <w:r>
        <w:t xml:space="preserve">вимірнісним</w:t>
      </w:r>
      <w:r>
        <w:t xml:space="preserve"> </w:t>
      </w:r>
      <w:r>
        <w:t xml:space="preserve">зондом</w:t>
      </w:r>
    </w:p>
    <w:p>
      <w:pPr>
        <w:pStyle w:val="Author"/>
      </w:pPr>
      <w:r>
        <w:t xml:space="preserve">[Імена</w:t>
      </w:r>
      <w:r>
        <w:t xml:space="preserve"> </w:t>
      </w:r>
      <w:r>
        <w:t xml:space="preserve">авторів</w:t>
      </w:r>
      <w:r>
        <w:t xml:space="preserve"> </w:t>
      </w:r>
      <w:r>
        <w:t xml:space="preserve">приховано]</w:t>
      </w:r>
    </w:p>
    <w:p>
      <w:pPr>
        <w:pStyle w:val="Date"/>
      </w:pPr>
      <w:r>
        <w:t xml:space="preserve">Квітень</w:t>
      </w:r>
      <w:r>
        <w:t xml:space="preserve"> </w:t>
      </w:r>
      <w:r>
        <w:t xml:space="preserve">2026</w:t>
      </w:r>
    </w:p>
    <w:bookmarkStart w:id="20" w:name="анотація"/>
    <w:p>
      <w:pPr>
        <w:pStyle w:val="Heading1"/>
      </w:pPr>
      <w:r>
        <w:t xml:space="preserve">Анотація</w:t>
      </w:r>
    </w:p>
    <w:p>
      <w:pPr>
        <w:pStyle w:val="FirstParagraph"/>
      </w:pPr>
      <w:r>
        <w:t xml:space="preserve">CCDR v7.1 — це поточна форма теоретичного фреймворку для космологічної структури, темної матерії, термодинаміки чорних дір і космологічної сталої, організована навколо одного принципу:</w:t>
      </w:r>
      <w:r>
        <w:t xml:space="preserve"> </w:t>
      </w:r>
      <w:r>
        <w:rPr>
          <w:bCs/>
          <w:b/>
        </w:rPr>
        <w:t xml:space="preserve">коли інформаційний вміст локальної області насичує голографічну межу для її поточної вимірності, фазовий перехід редукує область до нижньо-вимірного кодування, і матерія, що не встигає компактифікуватися під час переходу, виживає як залишок темної матерії, спостережуваний у нижньо-вимірному світі.</w:t>
      </w:r>
    </w:p>
    <w:p>
      <w:pPr>
        <w:pStyle w:val="BodyText"/>
      </w:pPr>
      <w:r>
        <w:t xml:space="preserve">Фреймворк відрізняється від v5–v6 трьома структурними способами. По-перше, він трактує вимірнісні редукції як</w:t>
      </w:r>
      <w:r>
        <w:t xml:space="preserve"> </w:t>
      </w:r>
      <w:r>
        <w:rPr>
          <w:iCs/>
          <w:i/>
        </w:rPr>
        <w:t xml:space="preserve">локальні, асинхронні і потенційно триваючі</w:t>
      </w:r>
      <w:r>
        <w:t xml:space="preserve">, сумісно з v5 ідентифікацією формування чорних дір та випромінювання де Сіттера як подій редукції, що тривають сьогодні. Великий вибух — лише найраніша і найглобальніше синхронізована редукція, а не єдина. По-друге, він трактує число вимірів N як</w:t>
      </w:r>
      <w:r>
        <w:t xml:space="preserve"> </w:t>
      </w:r>
      <w:r>
        <w:rPr>
          <w:bCs/>
          <w:b/>
        </w:rPr>
        <w:t xml:space="preserve">спостережувану величину, яка має визначатися підрахунком окремих видів темної матерії</w:t>
      </w:r>
      <w:r>
        <w:t xml:space="preserve">, а не як теоретичний вхід, зафіксований алгебраїчними збігами. По-третє, він трактує кожен числовий параметр як емпірично закріплений, де це можливо, і позначає кожен параметр, що ще не закріплений емпірично, як тимчасовий.</w:t>
      </w:r>
    </w:p>
    <w:p>
      <w:pPr>
        <w:pStyle w:val="BodyText"/>
      </w:pPr>
      <w:r>
        <w:t xml:space="preserve">Після чотирьох раундів тестування на публічних даних фреймворк має одне надійне підтвердження (локальне a₀ збігається з масштабом Мілгрома, а не з cH₀), один навідний позитивний сигнал (густинно-корельована просторова варіація залишків лінзування КМВ в Euclid Q1 при κ = 3.6 × 10⁻⁶, сумісно з прогнозом P30 до незалежної реплікації), один навідний високо-z тренд (a₀ зростає з z до cH₀, з малої вибірки), одне помірне узгоджувальне ранжування N = 6 з єдиного спостереження Ω_DM/Ω_B (з N = 7 головним близьким конкурентом при приблизно 3–4× нижчій вазі), і кілька відкликань раніше заявлених сигналів. Каскадне тверде ядро — прогноз, що число окремих видів темної матерії дорівнює N − 4, з геометрією послідовних масових відношень, встановленою кривою охолодження RVM — залишається структурно непротестованим з поточними публічними даними прямого виявлення і чекає на наступне покоління тонно-масштабних установок.</w:t>
      </w:r>
    </w:p>
    <w:p>
      <w:pPr>
        <w:pStyle w:val="BodyText"/>
      </w:pPr>
      <w:r>
        <w:t xml:space="preserve">Фреймворк представлений тут як когерентна дослідницька програма з чітко позначеним емпіричним статусом, а не як завершена теорія.</w:t>
      </w:r>
    </w:p>
    <w:bookmarkEnd w:id="20"/>
    <w:bookmarkStart w:id="24" w:name="вступ-і-керівний-принцип"/>
    <w:p>
      <w:pPr>
        <w:pStyle w:val="Heading1"/>
      </w:pPr>
      <w:r>
        <w:t xml:space="preserve">1. Вступ і керівний принцип</w:t>
      </w:r>
    </w:p>
    <w:bookmarkStart w:id="21" w:name="керівний-принцип"/>
    <w:p>
      <w:pPr>
        <w:pStyle w:val="Heading2"/>
      </w:pPr>
      <w:r>
        <w:t xml:space="preserve">1.1 Керівний принцип</w:t>
      </w:r>
    </w:p>
    <w:p>
      <w:pPr>
        <w:pStyle w:val="FirstParagraph"/>
      </w:pPr>
      <w:r>
        <w:t xml:space="preserve">Фреймворк спирається на одну ідею:</w:t>
      </w:r>
    </w:p>
    <w:p>
      <w:pPr>
        <w:pStyle w:val="BlockText"/>
      </w:pPr>
      <w:r>
        <w:t xml:space="preserve">Вимірнісна редукція — це локальний, масштабно-залежний фазовий перехід, що запускається, коли інформаційний вміст області насичує голографічну межу для її поточної вимірності.</w:t>
      </w:r>
    </w:p>
    <w:p>
      <w:pPr>
        <w:pStyle w:val="FirstParagraph"/>
      </w:pPr>
      <w:r>
        <w:t xml:space="preserve">Нехай S(V) позначає ентропію області V в ефективній теорії поля, а A(∂V)/(4 G_k) — голографічну межу, коли V знаходиться в k-вимірному просторі-часі. Умова запуску редукції:</w:t>
      </w:r>
    </w:p>
    <w:p>
      <w:pPr>
        <w:pStyle w:val="BodyText"/>
      </w:pPr>
      <w:r>
        <w:t xml:space="preserve">χ_k(V, t) ≡ S(V, t) / [A(∂V, t) / (4 G_k)] → 1.</w:t>
      </w:r>
    </w:p>
    <w:p>
      <w:pPr>
        <w:pStyle w:val="BodyText"/>
      </w:pPr>
      <w:r>
        <w:t xml:space="preserve">Коли χ_k досягає 1, k-вимірний опис руйнується, і стан області має бути перекодований на її (k − 1)-вимірній межі.</w:t>
      </w:r>
    </w:p>
    <w:p>
      <w:pPr>
        <w:pStyle w:val="BodyText"/>
      </w:pPr>
      <w:r>
        <w:t xml:space="preserve">Це правило застосовується на кожному масштабі і в кожен час. Три спостережувальні наслідки випливають без додаткових припущень: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Чорні діри</w:t>
      </w:r>
      <w:r>
        <w:t xml:space="preserve"> </w:t>
      </w:r>
      <w:r>
        <w:t xml:space="preserve">— це області, де χ_4 → 1 локально запущено в 3+1-вимірному просторі-часі.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Випромінювання де Сіттера</w:t>
      </w:r>
      <w:r>
        <w:t xml:space="preserve"> </w:t>
      </w:r>
      <w:r>
        <w:t xml:space="preserve">— космологічний аналог: Всесвіт в цілому наближається до порога редукції з N-вимірного об’єму.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Темний сектор</w:t>
      </w:r>
      <w:r>
        <w:t xml:space="preserve"> </w:t>
      </w:r>
      <w:r>
        <w:t xml:space="preserve">складається з матерії, що</w:t>
      </w:r>
      <w:r>
        <w:t xml:space="preserve"> </w:t>
      </w:r>
      <w:r>
        <w:rPr>
          <w:iCs/>
          <w:i/>
        </w:rPr>
        <w:t xml:space="preserve">не встигла компактифікуватися</w:t>
      </w:r>
      <w:r>
        <w:t xml:space="preserve">, коли сталася якась попередня редукція. Кожен крок редукції, що стався в нашому регіоні, залишає один вид темної матерії.</w:t>
      </w:r>
    </w:p>
    <w:bookmarkEnd w:id="21"/>
    <w:bookmarkStart w:id="22" w:name="X3eb491438343efb490289006142229dedfb12cc"/>
    <w:p>
      <w:pPr>
        <w:pStyle w:val="Heading2"/>
      </w:pPr>
      <w:r>
        <w:t xml:space="preserve">1.2 Ключова новизна: локальність і асинхронність</w:t>
      </w:r>
    </w:p>
    <w:p>
      <w:pPr>
        <w:pStyle w:val="FirstParagraph"/>
      </w:pPr>
      <w:r>
        <w:t xml:space="preserve">Попередні версії фреймворку трактували каскад як подію Великого вибуху або швидку послідовність подій раннього Всесвіту. Це було внутрішньо несумісним з ідентифікацією формування чорних дір та випромінювання де Сіттера як</w:t>
      </w:r>
      <w:r>
        <w:t xml:space="preserve"> </w:t>
      </w:r>
      <w:r>
        <w:rPr>
          <w:iCs/>
          <w:i/>
        </w:rPr>
        <w:t xml:space="preserve">триваючих</w:t>
      </w:r>
      <w:r>
        <w:t xml:space="preserve"> </w:t>
      </w:r>
      <w:r>
        <w:t xml:space="preserve">редукцій. v7 усунув неузгодженість, трактуючи кожну каскадну стадію як локально запущену подію, і v7.1 продовжує це.</w:t>
      </w:r>
    </w:p>
    <w:p>
      <w:pPr>
        <w:pStyle w:val="BodyText"/>
      </w:pPr>
      <w:r>
        <w:t xml:space="preserve">Кожна стадія редукції k → k − 1 може бути в одному з трьох станів:</w:t>
      </w:r>
      <w:r>
        <w:t xml:space="preserve"> </w:t>
      </w:r>
      <w:r>
        <w:rPr>
          <w:bCs/>
          <w:b/>
        </w:rPr>
        <w:t xml:space="preserve">завершена</w:t>
      </w:r>
      <w:r>
        <w:t xml:space="preserve"> </w:t>
      </w:r>
      <w:r>
        <w:t xml:space="preserve">(χ_k → 1 досягнуто глобально, залишок DM_k — заморожений релікт),</w:t>
      </w:r>
      <w:r>
        <w:t xml:space="preserve"> </w:t>
      </w:r>
      <w:r>
        <w:rPr>
          <w:bCs/>
          <w:b/>
        </w:rPr>
        <w:t xml:space="preserve">триваюча</w:t>
      </w:r>
      <w:r>
        <w:t xml:space="preserve"> </w:t>
      </w:r>
      <w:r>
        <w:t xml:space="preserve">(компактифікація ще продовжується, маса m_k(t) повільно дрейфує, Ω_k(t) зростає), або</w:t>
      </w:r>
      <w:r>
        <w:t xml:space="preserve"> </w:t>
      </w:r>
      <w:r>
        <w:rPr>
          <w:bCs/>
          <w:b/>
        </w:rPr>
        <w:t xml:space="preserve">ще не запущена</w:t>
      </w:r>
      <w:r>
        <w:t xml:space="preserve"> </w:t>
      </w:r>
      <w:r>
        <w:t xml:space="preserve">(χ_k &lt; 1 глобально).</w:t>
      </w:r>
    </w:p>
    <w:p>
      <w:pPr>
        <w:pStyle w:val="BodyText"/>
      </w:pPr>
      <w:r>
        <w:t xml:space="preserve">Різні регіони Всесвіту можуть мати різні каскадні історії. Це передбачає</w:t>
      </w:r>
      <w:r>
        <w:t xml:space="preserve"> </w:t>
      </w:r>
      <w:r>
        <w:rPr>
          <w:bCs/>
          <w:b/>
        </w:rPr>
        <w:t xml:space="preserve">густинно-корельовану варіацію</w:t>
      </w:r>
      <w:r>
        <w:t xml:space="preserve"> </w:t>
      </w:r>
      <w:r>
        <w:t xml:space="preserve">локального складу темного сектора.</w:t>
      </w:r>
    </w:p>
    <w:bookmarkEnd w:id="22"/>
    <w:bookmarkStart w:id="23" w:name="епістемічне-зобовязання"/>
    <w:p>
      <w:pPr>
        <w:pStyle w:val="Heading2"/>
      </w:pPr>
      <w:r>
        <w:t xml:space="preserve">1.3 Епістемічне зобов’язання</w:t>
      </w:r>
    </w:p>
    <w:p>
      <w:pPr>
        <w:pStyle w:val="FirstParagraph"/>
      </w:pPr>
      <w:r>
        <w:t xml:space="preserve">Цей фреймворк віддає перевагу спостереженням над математикою. Де алгебраїчна побудова узгоджується з емпіричним вимірюванням, ми приймаємо цю згоду як перевірку узгодженості. Де вони суперечать, ми відкидаємо алгебру.</w:t>
      </w:r>
      <w:r>
        <w:t xml:space="preserve"> </w:t>
      </w:r>
      <w:r>
        <w:rPr>
          <w:bCs/>
          <w:b/>
        </w:rPr>
        <w:t xml:space="preserve">N — це спостережувана величина, а не теоретична стала.</w:t>
      </w:r>
      <w:r>
        <w:t xml:space="preserve"> </w:t>
      </w:r>
      <w:r>
        <w:t xml:space="preserve">Підгонка з єдиного спостереження Ω_DM/Ω_B = N − 1 (P25 v4) наразі віддає перевагу N = 6 з помірною вагою, і це повідомляється як тимчасова узгодженість з остаточним тестом твердого ядра, а не як виведення. Вирішальний тест — підрахунок піків у прямому виявленні.</w:t>
      </w:r>
    </w:p>
    <w:bookmarkEnd w:id="23"/>
    <w:bookmarkEnd w:id="24"/>
    <w:bookmarkStart w:id="28" w:name="Xa7cc7cdb24c174bae5bf6b49c53104a31f9270d"/>
    <w:p>
      <w:pPr>
        <w:pStyle w:val="Heading1"/>
      </w:pPr>
      <w:r>
        <w:t xml:space="preserve">2. Біжучий вакуум як космологічна крива охолодження</w:t>
      </w:r>
    </w:p>
    <w:bookmarkStart w:id="25" w:name="рівняння-rvm"/>
    <w:p>
      <w:pPr>
        <w:pStyle w:val="Heading2"/>
      </w:pPr>
      <w:r>
        <w:t xml:space="preserve">2.1 Рівняння RVM</w:t>
      </w:r>
    </w:p>
    <w:p>
      <w:pPr>
        <w:pStyle w:val="FirstParagraph"/>
      </w:pPr>
      <w:r>
        <w:t xml:space="preserve">ρ_vac(H) = C₀ + ν m² H² / M²_pl + α H⁴ / H²_I.</w:t>
      </w:r>
    </w:p>
    <w:bookmarkEnd w:id="25"/>
    <w:bookmarkStart w:id="26" w:name="емпіричний-статус-ν"/>
    <w:p>
      <w:pPr>
        <w:pStyle w:val="Heading2"/>
      </w:pPr>
      <w:r>
        <w:t xml:space="preserve">2.2 Емпіричний статус ν</w:t>
      </w:r>
    </w:p>
    <w:p>
      <w:pPr>
        <w:pStyle w:val="FirstParagraph"/>
      </w:pPr>
      <w:r>
        <w:t xml:space="preserve">Біжучий коефіцієнт ν — найбільш емпірично обмежений параметр RVM. Після чотирьох раундів ситуація така:</w:t>
      </w:r>
    </w:p>
    <w:p>
      <w:pPr>
        <w:pStyle w:val="BodyText"/>
      </w:pPr>
      <w:r>
        <w:t xml:space="preserve">Спрощена підгонка P01-стилю повертає ν = 0.00116 ± 0.00098, центральне значення при круглому теоретичному очікуванні 10⁻³. Уніфікований конвеєр (повна коваріація DESI DR2, апріорі з ланцюга Planck PR3, Pantheon+ без маргіналізації перетину) повертає ν, що насичує межу апріорі при 0.030, з 1.9σ проти ν = 0. Leave-one-out показує, що сигнал майже повністю несеться низько-z SN, а томографічний розподіл вибірки SN при z = 0.5 показує зниження значущості до 0.66σ у високо-z підвибірці.</w:t>
      </w:r>
    </w:p>
    <w:p>
      <w:pPr>
        <w:pStyle w:val="BodyText"/>
      </w:pPr>
      <w:r>
        <w:t xml:space="preserve">Картина однозначна:</w:t>
      </w:r>
      <w:r>
        <w:t xml:space="preserve"> </w:t>
      </w:r>
      <w:r>
        <w:rPr>
          <w:bCs/>
          <w:b/>
        </w:rPr>
        <w:t xml:space="preserve">вибірка Pantheon+ SN віддає перевагу малому додатному ν, але ця перевага зосереджена при низьких червоних зміщеннях, де космологічний біжучий вакуум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не повинен</w:t>
      </w:r>
      <w:r>
        <w:rPr>
          <w:bCs/>
          <w:b/>
        </w:rPr>
        <w:t xml:space="preserve"> </w:t>
      </w:r>
      <w:r>
        <w:rPr>
          <w:bCs/>
          <w:b/>
        </w:rPr>
        <w:t xml:space="preserve">мати свій найсильніший ефект.</w:t>
      </w:r>
      <w:r>
        <w:t xml:space="preserve"> </w:t>
      </w:r>
      <w:r>
        <w:t xml:space="preserve">Найімовірніша інтерпретація — низько-z систематичний Pantheon+, а не космологічний сигнал. Фреймворк тому відмовляється прийняти конкретне значення ν як вхід. v7.1 несе ν у діапазоні</w:t>
      </w:r>
      <w:r>
        <w:t xml:space="preserve"> </w:t>
      </w:r>
      <w:r>
        <w:rPr>
          <w:bCs/>
          <w:b/>
        </w:rPr>
        <w:t xml:space="preserve">10⁻³ ≤ ν ≤ 10⁻²</w:t>
      </w:r>
      <w:r>
        <w:t xml:space="preserve">, з розумінням, що верхній кінець може випаруватися, коли прибуде DESI DR3.</w:t>
      </w:r>
    </w:p>
    <w:bookmarkEnd w:id="26"/>
    <w:bookmarkStart w:id="27" w:name="rvm-як-крива-охолодження-каскаду"/>
    <w:p>
      <w:pPr>
        <w:pStyle w:val="Heading2"/>
      </w:pPr>
      <w:r>
        <w:t xml:space="preserve">2.3 RVM як крива охолодження каскаду</w:t>
      </w:r>
    </w:p>
    <w:p>
      <w:pPr>
        <w:pStyle w:val="FirstParagraph"/>
      </w:pPr>
      <w:r>
        <w:t xml:space="preserve">Коефіцієнт ν керує швидкістю еволюції H(t), і отже (через R_k ~ c/H_k) радіусом компактифікації на кожному епохі редукції. Впорядкована масова вежа: m_k ~ ℏ / R_k ~ ℏ H_k / c.</w:t>
      </w:r>
    </w:p>
    <w:bookmarkEnd w:id="27"/>
    <w:bookmarkEnd w:id="28"/>
    <w:bookmarkStart w:id="32" w:name="каскад-і-його-залишки"/>
    <w:p>
      <w:pPr>
        <w:pStyle w:val="Heading1"/>
      </w:pPr>
      <w:r>
        <w:t xml:space="preserve">3. Каскад і його залишки</w:t>
      </w:r>
    </w:p>
    <w:bookmarkStart w:id="29" w:name="структура-каскаду"/>
    <w:p>
      <w:pPr>
        <w:pStyle w:val="Heading2"/>
      </w:pPr>
      <w:r>
        <w:t xml:space="preserve">3.1 Структура каскаду</w:t>
      </w:r>
    </w:p>
    <w:p>
      <w:pPr>
        <w:pStyle w:val="FirstParagraph"/>
      </w:pPr>
      <w:r>
        <w:t xml:space="preserve">N → N − 1 → … → 5 → 4. Кожен крок — локальний фазовий перехід. Стадії можуть бути завершеними в різний космічний час і в різних місцях.</w:t>
      </w:r>
    </w:p>
    <w:bookmarkEnd w:id="29"/>
    <w:bookmarkStart w:id="30" w:name="види-залишків-і-прогноз-твердого-ядра"/>
    <w:p>
      <w:pPr>
        <w:pStyle w:val="Heading2"/>
      </w:pPr>
      <w:r>
        <w:t xml:space="preserve">3.2 Види залишків і прогноз твердого ядра</w:t>
      </w:r>
    </w:p>
    <w:p>
      <w:pPr>
        <w:pStyle w:val="FirstParagraph"/>
      </w:pPr>
      <w:r>
        <w:rPr>
          <w:bCs/>
          <w:b/>
        </w:rPr>
        <w:t xml:space="preserve">Прогноз твердого ядра (Твердження A):</w:t>
      </w:r>
      <w:r>
        <w:t xml:space="preserve"> </w:t>
      </w:r>
      <w:r>
        <w:rPr>
          <w:iCs/>
          <w:i/>
        </w:rPr>
        <w:t xml:space="preserve">Число окремих видів темної матерії, спостережуваних прямим, непрямим чи гравітаційним виявленням у нашому регіоні, дорівнює N − 4.</w:t>
      </w:r>
    </w:p>
    <w:p>
      <w:pPr>
        <w:pStyle w:val="BodyText"/>
      </w:pPr>
      <w:r>
        <w:t xml:space="preserve">Кожна завершена редукція виробляє статичний релікт. Кожна триваюча редукція виробляє живий потоковий компонент. Сума дорівнює N − 4.</w:t>
      </w:r>
    </w:p>
    <w:p>
      <w:pPr>
        <w:pStyle w:val="BodyText"/>
      </w:pPr>
      <w:r>
        <w:rPr>
          <w:bCs/>
          <w:b/>
        </w:rPr>
        <w:t xml:space="preserve">Фреймворк зобов’язується цьому тесту:</w:t>
      </w:r>
      <w:r>
        <w:t xml:space="preserve"> </w:t>
      </w:r>
      <w:r>
        <w:t xml:space="preserve">коли тонно-масштабні експерименти прямого виявлення досягнуть масової досяжності, щоб розрізнити передбачуваний другий пік (0.5–3 ТеВ за аудитом готовності раунду 3), їхній результат визначить N, і будь-яка попередня перевірка узгодженості, що суперечить відповіді прямого виявлення, буде відкинута.</w:t>
      </w:r>
    </w:p>
    <w:bookmarkEnd w:id="30"/>
    <w:bookmarkStart w:id="31" w:name="теорема-відношень-мас"/>
    <w:p>
      <w:pPr>
        <w:pStyle w:val="Heading2"/>
      </w:pPr>
      <w:r>
        <w:t xml:space="preserve">3.3 Теорема відношень мас</w:t>
      </w:r>
    </w:p>
    <w:p>
      <w:pPr>
        <w:pStyle w:val="FirstParagraph"/>
      </w:pPr>
      <w:r>
        <w:t xml:space="preserve">Для послідовності редукцій, запущених при H_N &gt; H_{N−1} &gt; … &gt; H_4: m_{k+1} / m_k = H_{k+1} / H_k. Це обчислювано з RVM-кривої охолодження з урахуванням ν. Вежа</w:t>
      </w:r>
      <w:r>
        <w:t xml:space="preserve"> </w:t>
      </w:r>
      <w:r>
        <w:rPr>
          <w:bCs/>
          <w:b/>
        </w:rPr>
        <w:t xml:space="preserve">геометрична з обчислюваними відношеннями</w:t>
      </w:r>
      <w:r>
        <w:t xml:space="preserve">.</w:t>
      </w:r>
    </w:p>
    <w:bookmarkEnd w:id="31"/>
    <w:bookmarkEnd w:id="32"/>
    <w:bookmarkStart w:id="36" w:name="темна-матерія-як-живий-зонд"/>
    <w:p>
      <w:pPr>
        <w:pStyle w:val="Heading1"/>
      </w:pPr>
      <w:r>
        <w:t xml:space="preserve">4. Темна матерія як живий зонд</w:t>
      </w:r>
    </w:p>
    <w:bookmarkStart w:id="33" w:name="підписи-завершеного-vs-триваючого"/>
    <w:p>
      <w:pPr>
        <w:pStyle w:val="Heading2"/>
      </w:pPr>
      <w:r>
        <w:t xml:space="preserve">4.1 Підписи завершеного vs триваючого</w:t>
      </w:r>
    </w:p>
    <w:p>
      <w:pPr>
        <w:pStyle w:val="FirstParagraph"/>
      </w:pPr>
      <w:r>
        <w:rPr>
          <w:bCs/>
          <w:b/>
        </w:rPr>
        <w:t xml:space="preserve">Завершене:</w:t>
      </w:r>
      <w:r>
        <w:t xml:space="preserve"> </w:t>
      </w:r>
      <w:r>
        <w:t xml:space="preserve">фіксована маса, фіксована поширеність, статичний масовий пік.</w:t>
      </w:r>
      <w:r>
        <w:t xml:space="preserve"> </w:t>
      </w:r>
      <w:r>
        <w:rPr>
          <w:bCs/>
          <w:b/>
        </w:rPr>
        <w:t xml:space="preserve">Триваюче:</w:t>
      </w:r>
      <w:r>
        <w:t xml:space="preserve"> </w:t>
      </w:r>
      <w:r>
        <w:t xml:space="preserve">повільно дрейфуюча маса m_k(t) зі швидкістю dm/m ~ ν H₀, зростаюча поширеність Ω_k(t).</w:t>
      </w:r>
    </w:p>
    <w:bookmarkEnd w:id="33"/>
    <w:bookmarkStart w:id="34" w:name="просторова-неоднорідність"/>
    <w:p>
      <w:pPr>
        <w:pStyle w:val="Heading2"/>
      </w:pPr>
      <w:r>
        <w:t xml:space="preserve">4.2 Просторова неоднорідність</w:t>
      </w:r>
    </w:p>
    <w:p>
      <w:pPr>
        <w:pStyle w:val="FirstParagraph"/>
      </w:pPr>
      <w:r>
        <w:t xml:space="preserve">Густинно-корельована варіація Ω_DM/Ω_B (амплітуда ~ν²), позиційно-залежна ефективна вимірність d_eff(x), густинно-корельовані орієнтаційні кореляції філаментів.</w:t>
      </w:r>
    </w:p>
    <w:bookmarkEnd w:id="34"/>
    <w:bookmarkStart w:id="35" w:name="перший-емпіричний-сигнал-p30-в-euclid-q1"/>
    <w:p>
      <w:pPr>
        <w:pStyle w:val="Heading2"/>
      </w:pPr>
      <w:r>
        <w:t xml:space="preserve">4.3 Перший емпіричний сигнал: P30 в Euclid Q1</w:t>
      </w:r>
    </w:p>
    <w:p>
      <w:pPr>
        <w:pStyle w:val="FirstParagraph"/>
      </w:pPr>
      <w:r>
        <w:t xml:space="preserve">Тест раунду 4 P30 з використанням залишків лінзування КМВ Euclid Q1:</w:t>
      </w:r>
    </w:p>
    <w:p>
      <w:pPr>
        <w:numPr>
          <w:ilvl w:val="0"/>
          <w:numId w:val="1002"/>
        </w:numPr>
        <w:pStyle w:val="Compact"/>
      </w:pPr>
      <w:r>
        <w:t xml:space="preserve">Висока густина мінус низька густина κ = +3.63 × 10⁻⁶</w:t>
      </w:r>
    </w:p>
    <w:p>
      <w:pPr>
        <w:numPr>
          <w:ilvl w:val="0"/>
          <w:numId w:val="1002"/>
        </w:numPr>
        <w:pStyle w:val="Compact"/>
      </w:pPr>
      <w:r>
        <w:t xml:space="preserve">Кореляція Пірсона r = +0.175, p ≈ 10⁻³⁸</w:t>
      </w:r>
    </w:p>
    <w:p>
      <w:pPr>
        <w:numPr>
          <w:ilvl w:val="0"/>
          <w:numId w:val="1002"/>
        </w:numPr>
        <w:pStyle w:val="Compact"/>
      </w:pPr>
      <w:r>
        <w:t xml:space="preserve">Густинно-стратифікований нуль-контроль: +12.99σ надлишок у передбачуваному напрямку</w:t>
      </w:r>
    </w:p>
    <w:p>
      <w:pPr>
        <w:numPr>
          <w:ilvl w:val="0"/>
          <w:numId w:val="1002"/>
        </w:numPr>
        <w:pStyle w:val="Compact"/>
      </w:pPr>
      <w:r>
        <w:t xml:space="preserve">Спільна густинно-впорядкована підгонка з тестом вирівнювання філаментів: z-показник κ +12.96, z-показник вирівнювання +8.75</w:t>
      </w:r>
    </w:p>
    <w:p>
      <w:pPr>
        <w:pStyle w:val="FirstParagraph"/>
      </w:pPr>
      <w:r>
        <w:t xml:space="preserve">Це навідний позитивний сигнал. Спостережувана амплітуда κ 3.6 × 10⁻⁶ знаходиться в нижньому кінці теоретичного діапазону (відповідає ν ≈ 10⁻³). До того як результат може бути підвищений до підтвердження, потрібні три перевірки: незалежна реплікація на не-Euclid каталозі, повний аудит систематик переднього плану, і крос-перевірка з відомими картами лінзування Euclid Q1.</w:t>
      </w:r>
      <w:r>
        <w:t xml:space="preserve"> </w:t>
      </w:r>
      <w:r>
        <w:rPr>
          <w:bCs/>
          <w:b/>
        </w:rPr>
        <w:t xml:space="preserve">Це найсильніший новий позитивний сигнал чотирьох раундів</w:t>
      </w:r>
      <w:r>
        <w:t xml:space="preserve">, із статусом</w:t>
      </w:r>
      <w:r>
        <w:t xml:space="preserve"> </w:t>
      </w:r>
      <w:r>
        <w:t xml:space="preserve">“</w:t>
      </w:r>
      <w:r>
        <w:t xml:space="preserve">навідний, до реплікації і систематик</w:t>
      </w:r>
      <w:r>
        <w:t xml:space="preserve">”</w:t>
      </w:r>
      <w:r>
        <w:t xml:space="preserve">.</w:t>
      </w:r>
    </w:p>
    <w:bookmarkEnd w:id="35"/>
    <w:bookmarkEnd w:id="36"/>
    <w:bookmarkStart w:id="40" w:name="X15ce45f4372a7f358b507b2f0c376b3ac8722b8"/>
    <w:p>
      <w:pPr>
        <w:pStyle w:val="Heading1"/>
      </w:pPr>
      <w:r>
        <w:t xml:space="preserve">5. N зі спостережень темного сектору: порядок пріоритету</w:t>
      </w:r>
    </w:p>
    <w:bookmarkStart w:id="37" w:name="зобовязання-спостереження-насамперед"/>
    <w:p>
      <w:pPr>
        <w:pStyle w:val="Heading2"/>
      </w:pPr>
      <w:r>
        <w:t xml:space="preserve">5.1 Зобов’язання</w:t>
      </w:r>
      <w:r>
        <w:t xml:space="preserve"> </w:t>
      </w:r>
      <w:r>
        <w:t xml:space="preserve">“</w:t>
      </w:r>
      <w:r>
        <w:t xml:space="preserve">спостереження насамперед</w:t>
      </w:r>
      <w:r>
        <w:t xml:space="preserve">”</w:t>
      </w:r>
    </w:p>
    <w:p>
      <w:pPr>
        <w:pStyle w:val="FirstParagraph"/>
      </w:pPr>
      <w:r>
        <w:t xml:space="preserve">Три спостережувальні ручки, у порядку спадання вирішальності:</w:t>
      </w:r>
    </w:p>
    <w:p>
      <w:pPr>
        <w:pStyle w:val="BodyText"/>
      </w:pPr>
      <w:r>
        <w:rPr>
          <w:bCs/>
          <w:b/>
        </w:rPr>
        <w:t xml:space="preserve">(1) Підрахунок піків прямого виявлення (Твердження A, тверде ядро).</w:t>
      </w:r>
      <w:r>
        <w:t xml:space="preserve"> </w:t>
      </w:r>
      <w:r>
        <w:t xml:space="preserve">Чекає на тонно-масштабну чутливість у ТеВ-діапазоні. Це вирішальний тест. Коли він запуститься, його відповідь є остаточною.</w:t>
      </w:r>
    </w:p>
    <w:p>
      <w:pPr>
        <w:pStyle w:val="BodyText"/>
      </w:pPr>
      <w:r>
        <w:rPr>
          <w:bCs/>
          <w:b/>
        </w:rPr>
        <w:t xml:space="preserve">(2) Підписи каскадних залишків у непрямому виявленні.</w:t>
      </w:r>
    </w:p>
    <w:p>
      <w:pPr>
        <w:pStyle w:val="BodyText"/>
      </w:pPr>
      <w:r>
        <w:rPr>
          <w:bCs/>
          <w:b/>
        </w:rPr>
        <w:t xml:space="preserve">(3) Перевірки узгодженості з космологічних спостережень.</w:t>
      </w:r>
      <w:r>
        <w:t xml:space="preserve"> </w:t>
      </w:r>
      <w:r>
        <w:t xml:space="preserve">Підгонка з єдиного спостереження Ω_DM/Ω_B = (N − 1) × (1 + δ_total) наразі віддає перевагу N = 6 при підтримці 0.75, з N = 7 при 0.25. З другим спостереженням (частка взаємодії f_int) підтримка N = 6 зростає до 0.81.</w:t>
      </w:r>
    </w:p>
    <w:p>
      <w:pPr>
        <w:pStyle w:val="BodyText"/>
      </w:pPr>
      <w:r>
        <w:t xml:space="preserve">Третій маршрут —</w:t>
      </w:r>
      <w:r>
        <w:t xml:space="preserve"> </w:t>
      </w:r>
      <w:r>
        <w:rPr>
          <w:iCs/>
          <w:i/>
        </w:rPr>
        <w:t xml:space="preserve">перевірка узгодженості</w:t>
      </w:r>
      <w:r>
        <w:t xml:space="preserve">, а не виведення. Він повідомляється тут, оскільки тимчасово вказує на N = 6, але фреймворк не зобов’язується цій відповіді до прямого виявлення.</w:t>
      </w:r>
    </w:p>
    <w:bookmarkEnd w:id="37"/>
    <w:bookmarkStart w:id="38" w:name="Xb5b8eef2d1ce540c08c0c15aeb32848cad35750"/>
    <w:p>
      <w:pPr>
        <w:pStyle w:val="Heading2"/>
      </w:pPr>
      <w:r>
        <w:t xml:space="preserve">5.2 Чому Ω-підгонка є перевіркою, а не виведенням</w:t>
      </w:r>
    </w:p>
    <w:p>
      <w:pPr>
        <w:pStyle w:val="FirstParagraph"/>
      </w:pPr>
      <w:r>
        <w:t xml:space="preserve">Відношення Ω_DM/Ω_B = N − 1 не виведено з перших принципів. Модифікації δ_geom, δ_seq, δ_fo, δ_mass можуть поглинути відхилення, і 2% сукупне зрушення у цих нюисансах достатньо, щоб поміняти перевагу між N = 6 і N = 7.</w:t>
      </w:r>
    </w:p>
    <w:bookmarkEnd w:id="38"/>
    <w:bookmarkStart w:id="39" w:name="оновлення-архітектури-синтезу"/>
    <w:p>
      <w:pPr>
        <w:pStyle w:val="Heading2"/>
      </w:pPr>
      <w:r>
        <w:t xml:space="preserve">5.3 Оновлення архітектури синтезу</w:t>
      </w:r>
    </w:p>
    <w:p>
      <w:pPr>
        <w:pStyle w:val="FirstParagraph"/>
      </w:pPr>
      <w:r>
        <w:rPr>
          <w:bCs/>
          <w:b/>
        </w:rPr>
        <w:t xml:space="preserve">Усі алгебраїчні маршрути до N (DA/O, HaPPY, AQN-як-підрахунок-секторів) понижено до перевірок узгодженості; саме N підвищено до спостережуваної величини.</w:t>
      </w:r>
    </w:p>
    <w:bookmarkEnd w:id="39"/>
    <w:bookmarkEnd w:id="40"/>
    <w:bookmarkStart w:id="41" w:name="X3773770bee2a5df3c3fdd438d8fa09cc410a03c"/>
    <w:p>
      <w:pPr>
        <w:pStyle w:val="Heading1"/>
      </w:pPr>
      <w:r>
        <w:t xml:space="preserve">6. Редукція чорних дір та інформаційний парадокс</w:t>
      </w:r>
    </w:p>
    <w:p>
      <w:pPr>
        <w:pStyle w:val="FirstParagraph"/>
      </w:pPr>
      <w:r>
        <w:t xml:space="preserve">Формування чорної діри — локальне запускання χ_4 → 1. Горизонт подій — фазова межа. Ентропія Бекенштейна–Хокінга S_BH = A/(4 G) випливає природньо. Унітарність зберігається, оскільки редукція — це перекодування, а не знищення інформації. Межа KSS η/s ≥ ℏ/(4π k_B) насичується (до фактора ~2) в КГП, що підтверджено Тестом 9 раунду 1.</w:t>
      </w:r>
    </w:p>
    <w:bookmarkEnd w:id="41"/>
    <w:bookmarkStart w:id="42" w:name="Xf4e2cc9d61a0c2268a952d5dbd7ac00d647f354"/>
    <w:p>
      <w:pPr>
        <w:pStyle w:val="Heading1"/>
      </w:pPr>
      <w:r>
        <w:t xml:space="preserve">7. Космічна павутина як зерниста структура 3+1D кристала</w:t>
      </w:r>
    </w:p>
    <w:p>
      <w:pPr>
        <w:pStyle w:val="FirstParagraph"/>
      </w:pPr>
      <w:r>
        <w:t xml:space="preserve">Масштаб BAO r* ≈ 147 Mpc — природна просторова ґратчаста стала космологічного кристала. Філаменти, що належать до одного зернового домену, повинні мати корельовані орієнтації. У Tempel et al. (2014) SDSS DR8 вимірювання дало 17.8σ амплітуду та 163 Mpc/h шкалу, але це зазнало краху під незалежною реплікацією (v6.3). Раунд 4 на Euclid Q1 відновлює сигнал подібної амплітуди (0.169 при &gt; 100 Mpc/h) з густинно-стратифікованою структурою. Фреймворк повідомляє P3 як</w:t>
      </w:r>
      <w:r>
        <w:t xml:space="preserve"> </w:t>
      </w:r>
      <w:r>
        <w:t xml:space="preserve">“</w:t>
      </w:r>
      <w:r>
        <w:t xml:space="preserve">сумісно з інтерпретацією зернистої структури на Euclid Q1, до аудиту систематик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Високо-z MOND прискорення.</w:t>
      </w:r>
      <w:r>
        <w:t xml:space="preserve"> </w:t>
      </w:r>
      <w:r>
        <w:t xml:space="preserve">Тест раунду 4 з малою вибіркою повідомляє середнє високо-z a₀ = 3.91 × 10⁻¹⁰ м с⁻², 2.26× локального значення Мілгрома, з Спірмен r = 0.886 при p = 0.019. Тренд у передбачуваному напрямку. Навідний результат, що потребує пріоритетного подальшого дослідження.</w:t>
      </w:r>
    </w:p>
    <w:bookmarkEnd w:id="42"/>
    <w:bookmarkStart w:id="43" w:name="зведення-прогнозів"/>
    <w:p>
      <w:pPr>
        <w:pStyle w:val="Heading1"/>
      </w:pPr>
      <w:r>
        <w:t xml:space="preserve">8. Зведення прогнозів</w:t>
      </w:r>
    </w:p>
    <w:p>
      <w:pPr>
        <w:pStyle w:val="FirstParagraph"/>
      </w:pPr>
      <w:r>
        <w:rPr>
          <w:bCs/>
          <w:b/>
        </w:rPr>
        <w:t xml:space="preserve">P1 (RVM BAO):</w:t>
      </w:r>
      <w:r>
        <w:t xml:space="preserve"> </w:t>
      </w:r>
      <w:r>
        <w:t xml:space="preserve">емпірично активний, але двозначний. Ймовірний систематичний; DESI DR3 вирішить.</w:t>
      </w:r>
    </w:p>
    <w:p>
      <w:pPr>
        <w:pStyle w:val="BodyText"/>
      </w:pPr>
      <w:r>
        <w:rPr>
          <w:bCs/>
          <w:b/>
        </w:rPr>
        <w:t xml:space="preserve">P3 (вирівнювання філаментів):</w:t>
      </w:r>
      <w:r>
        <w:t xml:space="preserve"> </w:t>
      </w:r>
      <w:r>
        <w:t xml:space="preserve">навідне на Euclid Q1; спростовано на SDSS DR8 незалежною реконструкцією.</w:t>
      </w:r>
    </w:p>
    <w:p>
      <w:pPr>
        <w:pStyle w:val="BodyText"/>
      </w:pPr>
      <w:r>
        <w:rPr>
          <w:bCs/>
          <w:b/>
        </w:rPr>
        <w:t xml:space="preserve">P5 (KSS):</w:t>
      </w:r>
      <w:r>
        <w:t xml:space="preserve"> </w:t>
      </w:r>
      <w:r>
        <w:t xml:space="preserve">частково підтверджено (КГП 1.4× KSS).</w:t>
      </w:r>
    </w:p>
    <w:p>
      <w:pPr>
        <w:pStyle w:val="BodyText"/>
      </w:pPr>
      <w:r>
        <w:rPr>
          <w:bCs/>
          <w:b/>
        </w:rPr>
        <w:t xml:space="preserve">P9b/d/e/f (ЦЕРН Run 3):</w:t>
      </w:r>
      <w:r>
        <w:t xml:space="preserve"> </w:t>
      </w:r>
      <w:r>
        <w:t xml:space="preserve">раунд-4 скрининг HEPData не показує надлишку.</w:t>
      </w:r>
    </w:p>
    <w:p>
      <w:pPr>
        <w:pStyle w:val="BodyText"/>
      </w:pPr>
      <w:r>
        <w:rPr>
          <w:bCs/>
          <w:b/>
        </w:rPr>
        <w:t xml:space="preserve">P10/P25 (підрахунок піків ТМ, тверде ядро):</w:t>
      </w:r>
      <w:r>
        <w:t xml:space="preserve"> </w:t>
      </w:r>
      <w:r>
        <w:t xml:space="preserve">Ще не тестовано.</w:t>
      </w:r>
    </w:p>
    <w:p>
      <w:pPr>
        <w:pStyle w:val="BodyText"/>
      </w:pPr>
      <w:r>
        <w:rPr>
          <w:bCs/>
          <w:b/>
        </w:rPr>
        <w:t xml:space="preserve">P14/P30 (густинно-корельована варіація Ω_DM/Ω_B):</w:t>
      </w:r>
      <w:r>
        <w:t xml:space="preserve"> </w:t>
      </w:r>
      <w:r>
        <w:t xml:space="preserve">навідний позитивний на Euclid Q1,</w:t>
      </w:r>
      <w:r>
        <w:t xml:space="preserve"> </w:t>
      </w:r>
      <w:r>
        <w:rPr>
          <w:bCs/>
          <w:b/>
        </w:rPr>
        <w:t xml:space="preserve">найбільш перспективний новий сигнал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§6.1 локальне a₀ → Мілгром:</w:t>
      </w:r>
      <w:r>
        <w:t xml:space="preserve"> </w:t>
      </w:r>
      <w:r>
        <w:t xml:space="preserve">підтверджено. Єдиний надійний якір фреймворку.</w:t>
      </w:r>
    </w:p>
    <w:p>
      <w:pPr>
        <w:pStyle w:val="BodyText"/>
      </w:pPr>
      <w:r>
        <w:rPr>
          <w:bCs/>
          <w:b/>
        </w:rPr>
        <w:t xml:space="preserve">§6.1 високо-z a₀ → cH₀:</w:t>
      </w:r>
      <w:r>
        <w:t xml:space="preserve"> </w:t>
      </w:r>
      <w:r>
        <w:t xml:space="preserve">навідний тренд на малій вибірці.</w:t>
      </w:r>
    </w:p>
    <w:p>
      <w:pPr>
        <w:pStyle w:val="BodyText"/>
      </w:pPr>
      <w:r>
        <w:rPr>
          <w:bCs/>
          <w:b/>
        </w:rPr>
        <w:t xml:space="preserve">P8-серія (NANOGrav/PTA):</w:t>
      </w:r>
      <w:r>
        <w:t xml:space="preserve"> </w:t>
      </w:r>
      <w:r>
        <w:t xml:space="preserve">нижче поточної чутливості PTA у 300+ разів; P8c повертає неправильний знак. Непродуктивний канал.</w:t>
      </w:r>
    </w:p>
    <w:p>
      <w:pPr>
        <w:pStyle w:val="BodyText"/>
      </w:pPr>
      <w:r>
        <w:rPr>
          <w:bCs/>
          <w:b/>
        </w:rPr>
        <w:t xml:space="preserve">§6.3 Відношення Койде:</w:t>
      </w:r>
      <w:r>
        <w:t xml:space="preserve"> </w:t>
      </w:r>
      <w:r>
        <w:t xml:space="preserve">лептони Q в межах 0.9σ від 2/3; верхні кварки 0.4σ від 8/9; нижні кварки 0.9σ від 3/4 при M_Z. Спільної шкали не існує; структурно потрібні секторо-залежні масштаби кристалізації.</w:t>
      </w:r>
    </w:p>
    <w:bookmarkEnd w:id="43"/>
    <w:bookmarkStart w:id="44" w:name="відкриті-проблеми"/>
    <w:p>
      <w:pPr>
        <w:pStyle w:val="Heading1"/>
      </w:pPr>
      <w:r>
        <w:t xml:space="preserve">9. Відкриті проблеми</w:t>
      </w:r>
    </w:p>
    <w:p>
      <w:pPr>
        <w:pStyle w:val="FirstParagraph"/>
      </w:pPr>
      <w:r>
        <w:t xml:space="preserve">Структура ν-сигналу з червоного зміщення потребує вирішення. Тест 1 потребує незалежної реплікації. Тест 5 потребує каталог-масштабної вибірки. Каскадне тверде ядро залишається непротестованим. Виведення секторо-залежних шкал кристалізації з перших принципів винне.</w:t>
      </w:r>
    </w:p>
    <w:bookmarkEnd w:id="44"/>
    <w:bookmarkStart w:id="45" w:name="висновок"/>
    <w:p>
      <w:pPr>
        <w:pStyle w:val="Heading1"/>
      </w:pPr>
      <w:r>
        <w:t xml:space="preserve">10. Висновок</w:t>
      </w:r>
    </w:p>
    <w:p>
      <w:pPr>
        <w:pStyle w:val="FirstParagraph"/>
      </w:pPr>
      <w:r>
        <w:t xml:space="preserve">CCDR v7.1 — це дослідницька програма, побудована навколо одного принципу — локально запущеної вимірнісної редукції — і зорієнтована на спостереження. Емпіричний статус фреймворку після чотирьох раундів тестування: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Один надійний якір:</w:t>
      </w:r>
      <w:r>
        <w:t xml:space="preserve"> </w:t>
      </w:r>
      <w:r>
        <w:t xml:space="preserve">локальне a₀ = прискорення Мілгрома.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Один навідний позитивний:</w:t>
      </w:r>
      <w:r>
        <w:t xml:space="preserve"> </w:t>
      </w:r>
      <w:r>
        <w:t xml:space="preserve">густинно-корельоване κ в Euclid Q1.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Один крихкий високо-z тренд:</w:t>
      </w:r>
      <w:r>
        <w:t xml:space="preserve"> </w:t>
      </w:r>
      <w:r>
        <w:t xml:space="preserve">a₀ зростає з z на шеститочковій вибірці.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Одне тимчасове ранжування N:</w:t>
      </w:r>
      <w:r>
        <w:t xml:space="preserve"> </w:t>
      </w:r>
      <w:r>
        <w:t xml:space="preserve">Ω_DM/Ω_B віддає перевагу N = 6.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Діагностичний тест поступається спостереженню:</w:t>
      </w:r>
      <w:r>
        <w:t xml:space="preserve"> </w:t>
      </w:r>
      <w:r>
        <w:t xml:space="preserve">каскадне тверде ядро буде вирішено тонно-масштабним прямим виявленням, і фреймворк зобов’язується прийняти цю відповідь, якою б вона не виявилася.</w:t>
      </w:r>
    </w:p>
    <w:p>
      <w:pPr>
        <w:pStyle w:val="FirstParagraph"/>
      </w:pPr>
      <w:r>
        <w:t xml:space="preserve">Фреймворк наразі не претендує бути завершеною теорією. Він представляє когерентний набір прогнозів з прозорим емпіричним статусом.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Рукопис підготовлено для подвійного сліпого рецензування.</w:t>
      </w:r>
    </w:p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uk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Кристалографічна космологія з вимірнісної редукції (CCDR v7.1)</dc:title>
  <dc:creator>[Імена авторів приховано]</dc:creator>
  <dc:language>uk</dc:language>
  <cp:keywords/>
  <dcterms:created xsi:type="dcterms:W3CDTF">2026-04-16T10:17:34Z</dcterms:created>
  <dcterms:modified xsi:type="dcterms:W3CDTF">2026-04-16T10:17:34Z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Квітень 2026</vt:lpwstr>
  </property>
  <property fmtid="{D5CDD505-2E9C-101B-9397-08002B2CF9AE}" pid="3" name="subtitle">
    <vt:lpwstr>Локальний, асинхронний, триваючий каскад — з темною матерією як живим вимірнісним зондом</vt:lpwstr>
  </property>
</Properties>
</file>